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2E69DD61" w:rsidR="00E203C2" w:rsidRDefault="00E203C2" w:rsidP="00E203C2">
      <w:r>
        <w:rPr>
          <w:noProof/>
          <w:lang w:eastAsia="en-GB" w:bidi="ar-SA"/>
        </w:rPr>
        <w:drawing>
          <wp:inline distT="0" distB="0" distL="0" distR="0" wp14:anchorId="4A2E7454" wp14:editId="2E5EA32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20F851E2" w14:textId="309E217A" w:rsidR="00CA641D" w:rsidRPr="0022370D" w:rsidRDefault="0022370D" w:rsidP="00CA641D">
      <w:pPr>
        <w:rPr>
          <w:b/>
          <w:sz w:val="28"/>
          <w:szCs w:val="28"/>
        </w:rPr>
      </w:pPr>
      <w:r w:rsidRPr="0022370D">
        <w:rPr>
          <w:b/>
          <w:sz w:val="28"/>
          <w:szCs w:val="28"/>
        </w:rPr>
        <w:t>13 November 2018</w:t>
      </w:r>
    </w:p>
    <w:p w14:paraId="716A0F35" w14:textId="2FD7A6F6" w:rsidR="00CA641D" w:rsidRPr="0022370D" w:rsidRDefault="0022370D" w:rsidP="00CA641D">
      <w:pPr>
        <w:rPr>
          <w:b/>
          <w:sz w:val="28"/>
          <w:szCs w:val="28"/>
        </w:rPr>
      </w:pPr>
      <w:r w:rsidRPr="0022370D">
        <w:rPr>
          <w:b/>
          <w:sz w:val="28"/>
          <w:szCs w:val="28"/>
        </w:rPr>
        <w:t>[63-18</w:t>
      </w:r>
      <w:r w:rsidR="00CA641D" w:rsidRPr="0022370D">
        <w:rPr>
          <w:b/>
          <w:sz w:val="28"/>
          <w:szCs w:val="28"/>
        </w:rPr>
        <w:t>]</w:t>
      </w:r>
    </w:p>
    <w:p w14:paraId="0CD668BB" w14:textId="77777777" w:rsidR="0057615C" w:rsidRPr="0022370D" w:rsidRDefault="0057615C" w:rsidP="00690206">
      <w:pPr>
        <w:pStyle w:val="FSTitle"/>
        <w:rPr>
          <w:b/>
          <w:sz w:val="22"/>
        </w:rPr>
      </w:pPr>
    </w:p>
    <w:p w14:paraId="187C86CF" w14:textId="6C1722D1"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F0509">
        <w:rPr>
          <w:b/>
        </w:rPr>
        <w:t>1</w:t>
      </w:r>
    </w:p>
    <w:p w14:paraId="7C4C6180" w14:textId="77777777" w:rsidR="00BA24E2" w:rsidRDefault="00BA24E2" w:rsidP="00E203C2">
      <w:bookmarkStart w:id="0" w:name="_GoBack"/>
      <w:bookmarkEnd w:id="0"/>
    </w:p>
    <w:p w14:paraId="02E81F6B" w14:textId="5CB95618" w:rsidR="00AF0509" w:rsidRDefault="00AF0509" w:rsidP="00AF0509">
      <w:pPr>
        <w:pStyle w:val="FSTitle"/>
      </w:pPr>
      <w:r w:rsidRPr="00C709B3">
        <w:t xml:space="preserve">Risk </w:t>
      </w:r>
      <w:r>
        <w:t xml:space="preserve">and technical </w:t>
      </w:r>
      <w:r w:rsidRPr="00C709B3">
        <w:t xml:space="preserve">assessment </w:t>
      </w:r>
      <w:r>
        <w:t xml:space="preserve">report </w:t>
      </w:r>
      <w:r w:rsidRPr="00C709B3">
        <w:t>– Application A11</w:t>
      </w:r>
      <w:r>
        <w:t>65</w:t>
      </w:r>
    </w:p>
    <w:p w14:paraId="1E09FD7A" w14:textId="77777777" w:rsidR="00AF0509" w:rsidRDefault="00AF0509" w:rsidP="00AF0509">
      <w:pPr>
        <w:pStyle w:val="FSTitle"/>
      </w:pPr>
      <w:r w:rsidRPr="00C709B3">
        <w:t xml:space="preserve"> </w:t>
      </w:r>
    </w:p>
    <w:p w14:paraId="004DEE3E" w14:textId="581E7BDE" w:rsidR="00AF0509" w:rsidRPr="00C709B3" w:rsidRDefault="00AF0509" w:rsidP="00AF0509">
      <w:pPr>
        <w:pStyle w:val="FSTitle"/>
        <w:spacing w:line="360" w:lineRule="auto"/>
      </w:pPr>
      <w:r>
        <w:t xml:space="preserve">Lysophospholipase from </w:t>
      </w:r>
      <w:r w:rsidRPr="00AF0509">
        <w:rPr>
          <w:i/>
        </w:rPr>
        <w:t>Trichoderma reesei</w:t>
      </w:r>
      <w:r>
        <w:t xml:space="preserve"> as a processing aid (enzyme)</w:t>
      </w:r>
    </w:p>
    <w:p w14:paraId="61101A5D" w14:textId="77777777" w:rsidR="00E203C2" w:rsidRPr="00B37BF0" w:rsidRDefault="00E203C2" w:rsidP="00E203C2">
      <w:pPr>
        <w:pBdr>
          <w:bottom w:val="single" w:sz="12" w:space="1" w:color="auto"/>
        </w:pBdr>
        <w:spacing w:line="280" w:lineRule="exact"/>
        <w:rPr>
          <w:rFonts w:cs="Arial"/>
          <w:bCs/>
        </w:rPr>
      </w:pPr>
    </w:p>
    <w:p w14:paraId="41D056D3" w14:textId="77777777" w:rsidR="00E203C2" w:rsidRPr="00B37BF0" w:rsidRDefault="00E203C2" w:rsidP="00E203C2"/>
    <w:p w14:paraId="709FABD9" w14:textId="14CADEBF" w:rsidR="00092CDA" w:rsidRDefault="00092CDA" w:rsidP="00352CF2">
      <w:pPr>
        <w:pStyle w:val="Heading1"/>
        <w:spacing w:before="0"/>
      </w:pPr>
      <w:bookmarkStart w:id="1" w:name="_Toc286391001"/>
      <w:bookmarkStart w:id="2" w:name="_Toc300933414"/>
      <w:bookmarkStart w:id="3" w:name="_Toc528851077"/>
      <w:r w:rsidRPr="00092CDA">
        <w:t xml:space="preserve">Executive </w:t>
      </w:r>
      <w:r w:rsidR="00B12F1E">
        <w:t>s</w:t>
      </w:r>
      <w:r w:rsidRPr="00092CDA">
        <w:t>ummary</w:t>
      </w:r>
      <w:bookmarkEnd w:id="1"/>
      <w:bookmarkEnd w:id="2"/>
      <w:bookmarkEnd w:id="3"/>
    </w:p>
    <w:p w14:paraId="6A793E07" w14:textId="4A2641AF" w:rsidR="00653E10" w:rsidRDefault="00653E10" w:rsidP="00653E10">
      <w:pPr>
        <w:rPr>
          <w:lang w:val="en-AU"/>
        </w:rPr>
      </w:pPr>
      <w:r>
        <w:rPr>
          <w:lang w:val="en-AU"/>
        </w:rPr>
        <w:t xml:space="preserve">The purpose of the </w:t>
      </w:r>
      <w:r w:rsidR="00A710D7">
        <w:rPr>
          <w:lang w:val="en-AU"/>
        </w:rPr>
        <w:t>a</w:t>
      </w:r>
      <w:r>
        <w:rPr>
          <w:lang w:val="en-AU"/>
        </w:rPr>
        <w:t xml:space="preserve">pplication is to seek amendment of Schedule 18 – Processing Aids of the </w:t>
      </w:r>
      <w:r w:rsidRPr="00A710D7">
        <w:rPr>
          <w:lang w:val="en-AU"/>
        </w:rPr>
        <w:t>Australia New Zealand Food Standards Code</w:t>
      </w:r>
      <w:r>
        <w:rPr>
          <w:lang w:val="en-AU"/>
        </w:rPr>
        <w:t xml:space="preserve"> </w:t>
      </w:r>
      <w:r w:rsidR="00A710D7">
        <w:rPr>
          <w:lang w:val="en-AU"/>
        </w:rPr>
        <w:t xml:space="preserve">(the Code) </w:t>
      </w:r>
      <w:r>
        <w:rPr>
          <w:lang w:val="en-AU"/>
        </w:rPr>
        <w:t>to include</w:t>
      </w:r>
      <w:r w:rsidR="001503AD">
        <w:rPr>
          <w:lang w:val="en-AU"/>
        </w:rPr>
        <w:t xml:space="preserve"> the enzyme</w:t>
      </w:r>
      <w:r>
        <w:rPr>
          <w:lang w:val="en-AU"/>
        </w:rPr>
        <w:t xml:space="preserve"> lysophospholipase (EC 3.1.1.5) from a genetically modified strain of </w:t>
      </w:r>
      <w:r w:rsidRPr="005C0CBE">
        <w:rPr>
          <w:i/>
          <w:lang w:val="en-AU"/>
        </w:rPr>
        <w:t>Trichoderma reesei</w:t>
      </w:r>
      <w:r>
        <w:rPr>
          <w:lang w:val="en-AU"/>
        </w:rPr>
        <w:t xml:space="preserve"> for use in starch processing</w:t>
      </w:r>
      <w:r w:rsidR="00A710D7">
        <w:rPr>
          <w:lang w:val="en-AU"/>
        </w:rPr>
        <w:t>, including the production of syrups</w:t>
      </w:r>
      <w:r>
        <w:rPr>
          <w:lang w:val="en-AU"/>
        </w:rPr>
        <w:t xml:space="preserve">. </w:t>
      </w:r>
    </w:p>
    <w:p w14:paraId="498F5393" w14:textId="6BAC23D6" w:rsidR="00653E10" w:rsidRDefault="00653E10" w:rsidP="00653E10">
      <w:pPr>
        <w:rPr>
          <w:color w:val="00B050"/>
          <w:lang w:val="en-AU"/>
        </w:rPr>
      </w:pPr>
    </w:p>
    <w:p w14:paraId="1A86003A" w14:textId="380680CA" w:rsidR="00653E10" w:rsidRDefault="00653E10" w:rsidP="00653E10">
      <w:pPr>
        <w:rPr>
          <w:lang w:val="en-AU"/>
        </w:rPr>
      </w:pPr>
      <w:r w:rsidRPr="004E38D4">
        <w:rPr>
          <w:lang w:val="en-AU"/>
        </w:rPr>
        <w:t xml:space="preserve">The evidence </w:t>
      </w:r>
      <w:r w:rsidR="00917D2E">
        <w:rPr>
          <w:lang w:val="en-AU"/>
        </w:rPr>
        <w:t>evaluated</w:t>
      </w:r>
      <w:r w:rsidR="00917D2E" w:rsidRPr="004E38D4">
        <w:rPr>
          <w:lang w:val="en-AU"/>
        </w:rPr>
        <w:t xml:space="preserve"> </w:t>
      </w:r>
      <w:r w:rsidRPr="004E38D4">
        <w:rPr>
          <w:lang w:val="en-AU"/>
        </w:rPr>
        <w:t>to support the proposed use of the enzyme provides adequate assurance that the enzyme, in the form and prescribed amounts is technologically justified and has been demonstrated to be effective in achieving its stated purpose. The enzyme meets international purity specifications.</w:t>
      </w:r>
    </w:p>
    <w:p w14:paraId="21C37209" w14:textId="77777777" w:rsidR="00653E10" w:rsidRPr="004E38D4" w:rsidRDefault="00653E10" w:rsidP="00653E10">
      <w:pPr>
        <w:rPr>
          <w:lang w:val="en-AU"/>
        </w:rPr>
      </w:pPr>
    </w:p>
    <w:p w14:paraId="61FA8940" w14:textId="3A9A7896" w:rsidR="00653E10" w:rsidRPr="004E38D4" w:rsidRDefault="00653E10" w:rsidP="00653E10">
      <w:pPr>
        <w:rPr>
          <w:lang w:val="en-AU"/>
        </w:rPr>
      </w:pPr>
      <w:r w:rsidRPr="004E38D4">
        <w:rPr>
          <w:lang w:val="en-AU"/>
        </w:rPr>
        <w:t xml:space="preserve">Molecular evidence confirmed the taxonomy of the </w:t>
      </w:r>
      <w:r w:rsidR="00597140">
        <w:rPr>
          <w:lang w:val="en-AU"/>
        </w:rPr>
        <w:t>production</w:t>
      </w:r>
      <w:r w:rsidR="00597140" w:rsidRPr="004E38D4">
        <w:rPr>
          <w:lang w:val="en-AU"/>
        </w:rPr>
        <w:t xml:space="preserve"> </w:t>
      </w:r>
      <w:r w:rsidRPr="004E38D4">
        <w:rPr>
          <w:lang w:val="en-AU"/>
        </w:rPr>
        <w:t xml:space="preserve">strain of the lysophospholipase gene as </w:t>
      </w:r>
      <w:r w:rsidRPr="004E38D4">
        <w:rPr>
          <w:i/>
          <w:lang w:val="en-AU"/>
        </w:rPr>
        <w:t>T</w:t>
      </w:r>
      <w:r w:rsidR="001503AD">
        <w:rPr>
          <w:i/>
          <w:lang w:val="en-AU"/>
        </w:rPr>
        <w:t>.</w:t>
      </w:r>
      <w:r w:rsidRPr="004E38D4">
        <w:rPr>
          <w:i/>
          <w:lang w:val="en-AU"/>
        </w:rPr>
        <w:t xml:space="preserve"> reesei</w:t>
      </w:r>
      <w:r w:rsidRPr="004E38D4">
        <w:rPr>
          <w:lang w:val="en-AU"/>
        </w:rPr>
        <w:t xml:space="preserve">. This fungus is not toxigenic or pathogenic and has a long history of safe use in the production of a number of enzyme processing aids that are already permitted in the Code. No extraneous genetic material is carried across from the donor organism </w:t>
      </w:r>
      <w:r w:rsidR="00C821F5">
        <w:rPr>
          <w:lang w:val="en-AU"/>
        </w:rPr>
        <w:t>(</w:t>
      </w:r>
      <w:r w:rsidR="00C821F5" w:rsidRPr="00C821F5">
        <w:rPr>
          <w:i/>
          <w:lang w:val="en-AU"/>
        </w:rPr>
        <w:t>Aspergillus nishimurae</w:t>
      </w:r>
      <w:r w:rsidR="00C821F5">
        <w:rPr>
          <w:lang w:val="en-AU"/>
        </w:rPr>
        <w:t xml:space="preserve">) </w:t>
      </w:r>
      <w:r w:rsidRPr="004E38D4">
        <w:rPr>
          <w:lang w:val="en-AU"/>
        </w:rPr>
        <w:t xml:space="preserve">as part of the genetic </w:t>
      </w:r>
      <w:r w:rsidR="001503AD">
        <w:rPr>
          <w:lang w:val="en-AU"/>
        </w:rPr>
        <w:t>modification</w:t>
      </w:r>
      <w:r w:rsidRPr="004E38D4">
        <w:rPr>
          <w:lang w:val="en-AU"/>
        </w:rPr>
        <w:t>. The genetic modification has been shown to be phenotypically stable.</w:t>
      </w:r>
    </w:p>
    <w:p w14:paraId="63704F1D" w14:textId="77777777" w:rsidR="00653E10" w:rsidRPr="004E38D4" w:rsidRDefault="00653E10" w:rsidP="00653E10">
      <w:pPr>
        <w:rPr>
          <w:lang w:val="en-AU"/>
        </w:rPr>
      </w:pPr>
    </w:p>
    <w:p w14:paraId="7477AA83" w14:textId="12EFEB35" w:rsidR="002F1B7A" w:rsidRDefault="00653E10" w:rsidP="00653E10">
      <w:pPr>
        <w:rPr>
          <w:lang w:val="en-AU"/>
        </w:rPr>
      </w:pPr>
      <w:r w:rsidRPr="0086342E">
        <w:rPr>
          <w:lang w:val="en-AU"/>
        </w:rPr>
        <w:t xml:space="preserve">No public health and safety concerns associated with the use of lysophospholipase from genetically modified </w:t>
      </w:r>
      <w:r w:rsidRPr="0086342E">
        <w:rPr>
          <w:i/>
          <w:lang w:val="en-AU"/>
        </w:rPr>
        <w:t>T</w:t>
      </w:r>
      <w:r w:rsidR="001503AD" w:rsidRPr="0086342E">
        <w:rPr>
          <w:i/>
          <w:lang w:val="en-AU"/>
        </w:rPr>
        <w:t>.</w:t>
      </w:r>
      <w:r w:rsidRPr="0086342E">
        <w:rPr>
          <w:i/>
          <w:lang w:val="en-AU"/>
        </w:rPr>
        <w:t xml:space="preserve"> reesei</w:t>
      </w:r>
      <w:r w:rsidRPr="0086342E">
        <w:rPr>
          <w:lang w:val="en-AU"/>
        </w:rPr>
        <w:t xml:space="preserve"> were identified as a result of this hazard assessment.</w:t>
      </w:r>
      <w:r w:rsidRPr="004E38D4">
        <w:rPr>
          <w:lang w:val="en-AU"/>
        </w:rPr>
        <w:t xml:space="preserve"> </w:t>
      </w:r>
    </w:p>
    <w:p w14:paraId="2A7B3974" w14:textId="77777777" w:rsidR="002F1B7A" w:rsidRDefault="002F1B7A" w:rsidP="00653E10">
      <w:pPr>
        <w:rPr>
          <w:lang w:val="en-AU"/>
        </w:rPr>
      </w:pPr>
    </w:p>
    <w:p w14:paraId="67E4FA81" w14:textId="338FF3B6" w:rsidR="002F1B7A" w:rsidRPr="002F1B7A" w:rsidRDefault="002F1B7A" w:rsidP="002F1B7A">
      <w:pPr>
        <w:rPr>
          <w:lang w:val="en-AU"/>
        </w:rPr>
      </w:pPr>
      <w:r w:rsidRPr="002F1B7A">
        <w:rPr>
          <w:lang w:val="en-AU"/>
        </w:rPr>
        <w:t>The en</w:t>
      </w:r>
      <w:r w:rsidR="00917D2E">
        <w:rPr>
          <w:lang w:val="en-AU"/>
        </w:rPr>
        <w:t>z</w:t>
      </w:r>
      <w:r w:rsidRPr="002F1B7A">
        <w:rPr>
          <w:lang w:val="en-AU"/>
        </w:rPr>
        <w:t xml:space="preserve">yme was not genotoxic in a bacterial reverse mutation assay (Ames test) or a chromosomal aberration test in Chinese hamster lung fibroblast </w:t>
      </w:r>
      <w:r w:rsidRPr="002F1B7A">
        <w:rPr>
          <w:lang w:val="en-AU"/>
        </w:rPr>
        <w:lastRenderedPageBreak/>
        <w:t xml:space="preserve">V79 cells. No adverse effects were observed in a 90-day oral gavage study in rats at doses up to 1000 mg/kg bw/day, equivalent to 995 mg/kg bw/day when expressed as </w:t>
      </w:r>
      <w:r>
        <w:rPr>
          <w:lang w:val="en-AU"/>
        </w:rPr>
        <w:t>total organic solids (</w:t>
      </w:r>
      <w:r w:rsidRPr="002F1B7A">
        <w:rPr>
          <w:lang w:val="en-AU"/>
        </w:rPr>
        <w:t>TOS</w:t>
      </w:r>
      <w:r>
        <w:rPr>
          <w:lang w:val="en-AU"/>
        </w:rPr>
        <w:t>)</w:t>
      </w:r>
      <w:r w:rsidRPr="002F1B7A">
        <w:rPr>
          <w:lang w:val="en-AU"/>
        </w:rPr>
        <w:t>. The Theoretical Maximal Daily Intake (TMDI) in humans under the proposed conditions of use is equal to 0.006 mg/kg bw/day</w:t>
      </w:r>
      <w:r w:rsidR="00917D2E">
        <w:rPr>
          <w:lang w:val="en-AU"/>
        </w:rPr>
        <w:t xml:space="preserve"> TOS</w:t>
      </w:r>
      <w:r w:rsidRPr="002F1B7A">
        <w:rPr>
          <w:lang w:val="en-AU"/>
        </w:rPr>
        <w:t>. Consequently, the Margin of Safety (MoS) between the human TMDI and the NOAEL in rats is 159,167.</w:t>
      </w:r>
    </w:p>
    <w:p w14:paraId="6EE52769" w14:textId="77777777" w:rsidR="00653E10" w:rsidRPr="004E38D4" w:rsidRDefault="00653E10" w:rsidP="00653E10">
      <w:pPr>
        <w:rPr>
          <w:lang w:val="en-AU"/>
        </w:rPr>
      </w:pPr>
    </w:p>
    <w:p w14:paraId="10ECB5DF" w14:textId="0152765E" w:rsidR="00653E10" w:rsidRDefault="00653E10" w:rsidP="00653E10">
      <w:pPr>
        <w:rPr>
          <w:lang w:val="en-AU"/>
        </w:rPr>
      </w:pPr>
      <w:r w:rsidRPr="004E38D4">
        <w:rPr>
          <w:lang w:val="en-AU"/>
        </w:rPr>
        <w:t>Bioinformatic searches did not identify any significant homology of the amino acid sequence of the enzyme with those of known toxins or allergens.</w:t>
      </w:r>
      <w:r w:rsidR="009F4D72">
        <w:rPr>
          <w:lang w:val="en-AU"/>
        </w:rPr>
        <w:t xml:space="preserve"> </w:t>
      </w:r>
      <w:r w:rsidR="006459AA" w:rsidRPr="006459AA">
        <w:rPr>
          <w:lang w:val="en-AU"/>
        </w:rPr>
        <w:t>The enzyme</w:t>
      </w:r>
      <w:r w:rsidR="00917D2E">
        <w:rPr>
          <w:lang w:val="en-AU"/>
        </w:rPr>
        <w:t xml:space="preserve"> preparation</w:t>
      </w:r>
      <w:r w:rsidR="006459AA" w:rsidRPr="006459AA">
        <w:rPr>
          <w:lang w:val="en-AU"/>
        </w:rPr>
        <w:t xml:space="preserve"> may contain traces of wheat. As wheat is a major food allergen, risk management measures are indicated to protect wheat-allergic individuals.</w:t>
      </w:r>
      <w:r w:rsidR="006459AA" w:rsidRPr="006459AA" w:rsidDel="006459AA">
        <w:rPr>
          <w:lang w:val="en-AU"/>
        </w:rPr>
        <w:t xml:space="preserve"> </w:t>
      </w:r>
    </w:p>
    <w:p w14:paraId="59158D43" w14:textId="77777777" w:rsidR="006459AA" w:rsidRPr="004E38D4" w:rsidRDefault="006459AA" w:rsidP="00653E10">
      <w:pPr>
        <w:rPr>
          <w:lang w:val="en-AU"/>
        </w:rPr>
      </w:pPr>
    </w:p>
    <w:p w14:paraId="6409F6CA" w14:textId="76078653" w:rsidR="00653E10" w:rsidRPr="004E38D4" w:rsidRDefault="00653E10" w:rsidP="00653E10">
      <w:pPr>
        <w:rPr>
          <w:lang w:val="en-AU"/>
        </w:rPr>
      </w:pPr>
      <w:r w:rsidRPr="004E38D4">
        <w:rPr>
          <w:lang w:val="en-AU"/>
        </w:rPr>
        <w:t xml:space="preserve">Based on the reviewed toxicological data it is concluded that in the absence of any identifiable hazard, an Acceptable Daily Intake (ADI) of ‘not specified’ is appropriate. A dietary exposure assessment </w:t>
      </w:r>
      <w:r w:rsidR="00984DEA">
        <w:rPr>
          <w:lang w:val="en-AU"/>
        </w:rPr>
        <w:t>wa</w:t>
      </w:r>
      <w:r w:rsidRPr="004E38D4">
        <w:rPr>
          <w:lang w:val="en-AU"/>
        </w:rPr>
        <w:t>s therefore not required.</w:t>
      </w:r>
    </w:p>
    <w:p w14:paraId="4D63BF45"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06AD872C"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79126AC7" w14:textId="01615107" w:rsidR="00F76FA8"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28851077" w:history="1">
        <w:r w:rsidR="00F76FA8" w:rsidRPr="008D60DD">
          <w:rPr>
            <w:rStyle w:val="Hyperlink"/>
            <w:noProof/>
          </w:rPr>
          <w:t>Executive summary</w:t>
        </w:r>
        <w:r w:rsidR="00F76FA8">
          <w:rPr>
            <w:noProof/>
            <w:webHidden/>
          </w:rPr>
          <w:tab/>
        </w:r>
        <w:r w:rsidR="00F76FA8">
          <w:rPr>
            <w:noProof/>
            <w:webHidden/>
          </w:rPr>
          <w:fldChar w:fldCharType="begin"/>
        </w:r>
        <w:r w:rsidR="00F76FA8">
          <w:rPr>
            <w:noProof/>
            <w:webHidden/>
          </w:rPr>
          <w:instrText xml:space="preserve"> PAGEREF _Toc528851077 \h </w:instrText>
        </w:r>
        <w:r w:rsidR="00F76FA8">
          <w:rPr>
            <w:noProof/>
            <w:webHidden/>
          </w:rPr>
        </w:r>
        <w:r w:rsidR="00F76FA8">
          <w:rPr>
            <w:noProof/>
            <w:webHidden/>
          </w:rPr>
          <w:fldChar w:fldCharType="separate"/>
        </w:r>
        <w:r w:rsidR="00F76FA8">
          <w:rPr>
            <w:noProof/>
            <w:webHidden/>
          </w:rPr>
          <w:t>i</w:t>
        </w:r>
        <w:r w:rsidR="00F76FA8">
          <w:rPr>
            <w:noProof/>
            <w:webHidden/>
          </w:rPr>
          <w:fldChar w:fldCharType="end"/>
        </w:r>
      </w:hyperlink>
    </w:p>
    <w:p w14:paraId="52973B52" w14:textId="40FC2079" w:rsidR="00F76FA8" w:rsidRDefault="0022370D">
      <w:pPr>
        <w:pStyle w:val="TOC1"/>
        <w:tabs>
          <w:tab w:val="right" w:leader="dot" w:pos="9060"/>
        </w:tabs>
        <w:rPr>
          <w:rFonts w:eastAsiaTheme="minorEastAsia" w:cstheme="minorBidi"/>
          <w:b w:val="0"/>
          <w:bCs w:val="0"/>
          <w:caps w:val="0"/>
          <w:noProof/>
          <w:sz w:val="22"/>
          <w:szCs w:val="22"/>
          <w:lang w:eastAsia="en-GB" w:bidi="ar-SA"/>
        </w:rPr>
      </w:pPr>
      <w:hyperlink w:anchor="_Toc528851078" w:history="1">
        <w:r w:rsidR="00F76FA8" w:rsidRPr="008D60DD">
          <w:rPr>
            <w:rStyle w:val="Hyperlink"/>
            <w:noProof/>
          </w:rPr>
          <w:t>1 Introduction</w:t>
        </w:r>
        <w:r w:rsidR="00F76FA8">
          <w:rPr>
            <w:noProof/>
            <w:webHidden/>
          </w:rPr>
          <w:tab/>
        </w:r>
        <w:r w:rsidR="00F76FA8">
          <w:rPr>
            <w:noProof/>
            <w:webHidden/>
          </w:rPr>
          <w:fldChar w:fldCharType="begin"/>
        </w:r>
        <w:r w:rsidR="00F76FA8">
          <w:rPr>
            <w:noProof/>
            <w:webHidden/>
          </w:rPr>
          <w:instrText xml:space="preserve"> PAGEREF _Toc528851078 \h </w:instrText>
        </w:r>
        <w:r w:rsidR="00F76FA8">
          <w:rPr>
            <w:noProof/>
            <w:webHidden/>
          </w:rPr>
        </w:r>
        <w:r w:rsidR="00F76FA8">
          <w:rPr>
            <w:noProof/>
            <w:webHidden/>
          </w:rPr>
          <w:fldChar w:fldCharType="separate"/>
        </w:r>
        <w:r w:rsidR="00F76FA8">
          <w:rPr>
            <w:noProof/>
            <w:webHidden/>
          </w:rPr>
          <w:t>2</w:t>
        </w:r>
        <w:r w:rsidR="00F76FA8">
          <w:rPr>
            <w:noProof/>
            <w:webHidden/>
          </w:rPr>
          <w:fldChar w:fldCharType="end"/>
        </w:r>
      </w:hyperlink>
    </w:p>
    <w:p w14:paraId="0ECB8957" w14:textId="137EA7B3" w:rsidR="00F76FA8" w:rsidRDefault="0022370D">
      <w:pPr>
        <w:pStyle w:val="TOC2"/>
        <w:tabs>
          <w:tab w:val="left" w:pos="880"/>
          <w:tab w:val="right" w:leader="dot" w:pos="9060"/>
        </w:tabs>
        <w:rPr>
          <w:rFonts w:eastAsiaTheme="minorEastAsia" w:cstheme="minorBidi"/>
          <w:smallCaps w:val="0"/>
          <w:noProof/>
          <w:sz w:val="22"/>
          <w:szCs w:val="22"/>
          <w:lang w:eastAsia="en-GB" w:bidi="ar-SA"/>
        </w:rPr>
      </w:pPr>
      <w:hyperlink w:anchor="_Toc528851079" w:history="1">
        <w:r w:rsidR="00F76FA8" w:rsidRPr="008D60DD">
          <w:rPr>
            <w:rStyle w:val="Hyperlink"/>
            <w:noProof/>
          </w:rPr>
          <w:t>1.1</w:t>
        </w:r>
        <w:r w:rsidR="00F76FA8">
          <w:rPr>
            <w:rFonts w:eastAsiaTheme="minorEastAsia" w:cstheme="minorBidi"/>
            <w:smallCaps w:val="0"/>
            <w:noProof/>
            <w:sz w:val="22"/>
            <w:szCs w:val="22"/>
            <w:lang w:eastAsia="en-GB" w:bidi="ar-SA"/>
          </w:rPr>
          <w:tab/>
        </w:r>
        <w:r w:rsidR="00F76FA8" w:rsidRPr="008D60DD">
          <w:rPr>
            <w:rStyle w:val="Hyperlink"/>
            <w:noProof/>
          </w:rPr>
          <w:t>Objectives of the assessment</w:t>
        </w:r>
        <w:r w:rsidR="00F76FA8">
          <w:rPr>
            <w:noProof/>
            <w:webHidden/>
          </w:rPr>
          <w:tab/>
        </w:r>
        <w:r w:rsidR="00F76FA8">
          <w:rPr>
            <w:noProof/>
            <w:webHidden/>
          </w:rPr>
          <w:fldChar w:fldCharType="begin"/>
        </w:r>
        <w:r w:rsidR="00F76FA8">
          <w:rPr>
            <w:noProof/>
            <w:webHidden/>
          </w:rPr>
          <w:instrText xml:space="preserve"> PAGEREF _Toc528851079 \h </w:instrText>
        </w:r>
        <w:r w:rsidR="00F76FA8">
          <w:rPr>
            <w:noProof/>
            <w:webHidden/>
          </w:rPr>
        </w:r>
        <w:r w:rsidR="00F76FA8">
          <w:rPr>
            <w:noProof/>
            <w:webHidden/>
          </w:rPr>
          <w:fldChar w:fldCharType="separate"/>
        </w:r>
        <w:r w:rsidR="00F76FA8">
          <w:rPr>
            <w:noProof/>
            <w:webHidden/>
          </w:rPr>
          <w:t>2</w:t>
        </w:r>
        <w:r w:rsidR="00F76FA8">
          <w:rPr>
            <w:noProof/>
            <w:webHidden/>
          </w:rPr>
          <w:fldChar w:fldCharType="end"/>
        </w:r>
      </w:hyperlink>
    </w:p>
    <w:p w14:paraId="31608C33" w14:textId="6D8E0238" w:rsidR="00F76FA8" w:rsidRDefault="0022370D">
      <w:pPr>
        <w:pStyle w:val="TOC1"/>
        <w:tabs>
          <w:tab w:val="right" w:leader="dot" w:pos="9060"/>
        </w:tabs>
        <w:rPr>
          <w:rFonts w:eastAsiaTheme="minorEastAsia" w:cstheme="minorBidi"/>
          <w:b w:val="0"/>
          <w:bCs w:val="0"/>
          <w:caps w:val="0"/>
          <w:noProof/>
          <w:sz w:val="22"/>
          <w:szCs w:val="22"/>
          <w:lang w:eastAsia="en-GB" w:bidi="ar-SA"/>
        </w:rPr>
      </w:pPr>
      <w:hyperlink w:anchor="_Toc528851080" w:history="1">
        <w:r w:rsidR="00F76FA8" w:rsidRPr="008D60DD">
          <w:rPr>
            <w:rStyle w:val="Hyperlink"/>
            <w:noProof/>
          </w:rPr>
          <w:t>2 Food technology assessment</w:t>
        </w:r>
        <w:r w:rsidR="00F76FA8">
          <w:rPr>
            <w:noProof/>
            <w:webHidden/>
          </w:rPr>
          <w:tab/>
        </w:r>
        <w:r w:rsidR="00F76FA8">
          <w:rPr>
            <w:noProof/>
            <w:webHidden/>
          </w:rPr>
          <w:fldChar w:fldCharType="begin"/>
        </w:r>
        <w:r w:rsidR="00F76FA8">
          <w:rPr>
            <w:noProof/>
            <w:webHidden/>
          </w:rPr>
          <w:instrText xml:space="preserve"> PAGEREF _Toc528851080 \h </w:instrText>
        </w:r>
        <w:r w:rsidR="00F76FA8">
          <w:rPr>
            <w:noProof/>
            <w:webHidden/>
          </w:rPr>
        </w:r>
        <w:r w:rsidR="00F76FA8">
          <w:rPr>
            <w:noProof/>
            <w:webHidden/>
          </w:rPr>
          <w:fldChar w:fldCharType="separate"/>
        </w:r>
        <w:r w:rsidR="00F76FA8">
          <w:rPr>
            <w:noProof/>
            <w:webHidden/>
          </w:rPr>
          <w:t>2</w:t>
        </w:r>
        <w:r w:rsidR="00F76FA8">
          <w:rPr>
            <w:noProof/>
            <w:webHidden/>
          </w:rPr>
          <w:fldChar w:fldCharType="end"/>
        </w:r>
      </w:hyperlink>
    </w:p>
    <w:p w14:paraId="5FEF3FD7" w14:textId="76B85D25" w:rsidR="00F76FA8" w:rsidRDefault="0022370D">
      <w:pPr>
        <w:pStyle w:val="TOC2"/>
        <w:tabs>
          <w:tab w:val="left" w:pos="880"/>
          <w:tab w:val="right" w:leader="dot" w:pos="9060"/>
        </w:tabs>
        <w:rPr>
          <w:rFonts w:eastAsiaTheme="minorEastAsia" w:cstheme="minorBidi"/>
          <w:smallCaps w:val="0"/>
          <w:noProof/>
          <w:sz w:val="22"/>
          <w:szCs w:val="22"/>
          <w:lang w:eastAsia="en-GB" w:bidi="ar-SA"/>
        </w:rPr>
      </w:pPr>
      <w:hyperlink w:anchor="_Toc528851081" w:history="1">
        <w:r w:rsidR="00F76FA8" w:rsidRPr="008D60DD">
          <w:rPr>
            <w:rStyle w:val="Hyperlink"/>
            <w:noProof/>
          </w:rPr>
          <w:t>2.1</w:t>
        </w:r>
        <w:r w:rsidR="00F76FA8">
          <w:rPr>
            <w:rFonts w:eastAsiaTheme="minorEastAsia" w:cstheme="minorBidi"/>
            <w:smallCaps w:val="0"/>
            <w:noProof/>
            <w:sz w:val="22"/>
            <w:szCs w:val="22"/>
            <w:lang w:eastAsia="en-GB" w:bidi="ar-SA"/>
          </w:rPr>
          <w:tab/>
        </w:r>
        <w:r w:rsidR="00F76FA8" w:rsidRPr="008D60DD">
          <w:rPr>
            <w:rStyle w:val="Hyperlink"/>
            <w:noProof/>
          </w:rPr>
          <w:t>Characterisation of the enzyme</w:t>
        </w:r>
        <w:r w:rsidR="00F76FA8">
          <w:rPr>
            <w:noProof/>
            <w:webHidden/>
          </w:rPr>
          <w:tab/>
        </w:r>
        <w:r w:rsidR="00F76FA8">
          <w:rPr>
            <w:noProof/>
            <w:webHidden/>
          </w:rPr>
          <w:fldChar w:fldCharType="begin"/>
        </w:r>
        <w:r w:rsidR="00F76FA8">
          <w:rPr>
            <w:noProof/>
            <w:webHidden/>
          </w:rPr>
          <w:instrText xml:space="preserve"> PAGEREF _Toc528851081 \h </w:instrText>
        </w:r>
        <w:r w:rsidR="00F76FA8">
          <w:rPr>
            <w:noProof/>
            <w:webHidden/>
          </w:rPr>
        </w:r>
        <w:r w:rsidR="00F76FA8">
          <w:rPr>
            <w:noProof/>
            <w:webHidden/>
          </w:rPr>
          <w:fldChar w:fldCharType="separate"/>
        </w:r>
        <w:r w:rsidR="00F76FA8">
          <w:rPr>
            <w:noProof/>
            <w:webHidden/>
          </w:rPr>
          <w:t>2</w:t>
        </w:r>
        <w:r w:rsidR="00F76FA8">
          <w:rPr>
            <w:noProof/>
            <w:webHidden/>
          </w:rPr>
          <w:fldChar w:fldCharType="end"/>
        </w:r>
      </w:hyperlink>
    </w:p>
    <w:p w14:paraId="78710799" w14:textId="135F1FDC"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082" w:history="1">
        <w:r w:rsidR="00F76FA8" w:rsidRPr="008D60DD">
          <w:rPr>
            <w:rStyle w:val="Hyperlink"/>
            <w:noProof/>
          </w:rPr>
          <w:t>2.1.1</w:t>
        </w:r>
        <w:r w:rsidR="00F76FA8">
          <w:rPr>
            <w:rFonts w:eastAsiaTheme="minorEastAsia" w:cstheme="minorBidi"/>
            <w:i w:val="0"/>
            <w:iCs w:val="0"/>
            <w:noProof/>
            <w:sz w:val="22"/>
            <w:szCs w:val="22"/>
            <w:lang w:eastAsia="en-GB" w:bidi="ar-SA"/>
          </w:rPr>
          <w:tab/>
        </w:r>
        <w:r w:rsidR="00F76FA8" w:rsidRPr="008D60DD">
          <w:rPr>
            <w:rStyle w:val="Hyperlink"/>
            <w:noProof/>
          </w:rPr>
          <w:t>Identity of the enzyme</w:t>
        </w:r>
        <w:r w:rsidR="00F76FA8">
          <w:rPr>
            <w:noProof/>
            <w:webHidden/>
          </w:rPr>
          <w:tab/>
        </w:r>
        <w:r w:rsidR="00F76FA8">
          <w:rPr>
            <w:noProof/>
            <w:webHidden/>
          </w:rPr>
          <w:fldChar w:fldCharType="begin"/>
        </w:r>
        <w:r w:rsidR="00F76FA8">
          <w:rPr>
            <w:noProof/>
            <w:webHidden/>
          </w:rPr>
          <w:instrText xml:space="preserve"> PAGEREF _Toc528851082 \h </w:instrText>
        </w:r>
        <w:r w:rsidR="00F76FA8">
          <w:rPr>
            <w:noProof/>
            <w:webHidden/>
          </w:rPr>
        </w:r>
        <w:r w:rsidR="00F76FA8">
          <w:rPr>
            <w:noProof/>
            <w:webHidden/>
          </w:rPr>
          <w:fldChar w:fldCharType="separate"/>
        </w:r>
        <w:r w:rsidR="00F76FA8">
          <w:rPr>
            <w:noProof/>
            <w:webHidden/>
          </w:rPr>
          <w:t>2</w:t>
        </w:r>
        <w:r w:rsidR="00F76FA8">
          <w:rPr>
            <w:noProof/>
            <w:webHidden/>
          </w:rPr>
          <w:fldChar w:fldCharType="end"/>
        </w:r>
      </w:hyperlink>
    </w:p>
    <w:p w14:paraId="233D7963" w14:textId="41996428"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083" w:history="1">
        <w:r w:rsidR="00F76FA8" w:rsidRPr="008D60DD">
          <w:rPr>
            <w:rStyle w:val="Hyperlink"/>
            <w:noProof/>
          </w:rPr>
          <w:t>2.1.2</w:t>
        </w:r>
        <w:r w:rsidR="00F76FA8">
          <w:rPr>
            <w:rFonts w:eastAsiaTheme="minorEastAsia" w:cstheme="minorBidi"/>
            <w:i w:val="0"/>
            <w:iCs w:val="0"/>
            <w:noProof/>
            <w:sz w:val="22"/>
            <w:szCs w:val="22"/>
            <w:lang w:eastAsia="en-GB" w:bidi="ar-SA"/>
          </w:rPr>
          <w:tab/>
        </w:r>
        <w:r w:rsidR="00F76FA8" w:rsidRPr="008D60DD">
          <w:rPr>
            <w:rStyle w:val="Hyperlink"/>
            <w:noProof/>
          </w:rPr>
          <w:t>Technological purpose of the enzyme</w:t>
        </w:r>
        <w:r w:rsidR="00F76FA8">
          <w:rPr>
            <w:noProof/>
            <w:webHidden/>
          </w:rPr>
          <w:tab/>
        </w:r>
        <w:r w:rsidR="00F76FA8">
          <w:rPr>
            <w:noProof/>
            <w:webHidden/>
          </w:rPr>
          <w:fldChar w:fldCharType="begin"/>
        </w:r>
        <w:r w:rsidR="00F76FA8">
          <w:rPr>
            <w:noProof/>
            <w:webHidden/>
          </w:rPr>
          <w:instrText xml:space="preserve"> PAGEREF _Toc528851083 \h </w:instrText>
        </w:r>
        <w:r w:rsidR="00F76FA8">
          <w:rPr>
            <w:noProof/>
            <w:webHidden/>
          </w:rPr>
        </w:r>
        <w:r w:rsidR="00F76FA8">
          <w:rPr>
            <w:noProof/>
            <w:webHidden/>
          </w:rPr>
          <w:fldChar w:fldCharType="separate"/>
        </w:r>
        <w:r w:rsidR="00F76FA8">
          <w:rPr>
            <w:noProof/>
            <w:webHidden/>
          </w:rPr>
          <w:t>3</w:t>
        </w:r>
        <w:r w:rsidR="00F76FA8">
          <w:rPr>
            <w:noProof/>
            <w:webHidden/>
          </w:rPr>
          <w:fldChar w:fldCharType="end"/>
        </w:r>
      </w:hyperlink>
    </w:p>
    <w:p w14:paraId="086687BC" w14:textId="6246ED22"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084" w:history="1">
        <w:r w:rsidR="00F76FA8" w:rsidRPr="008D60DD">
          <w:rPr>
            <w:rStyle w:val="Hyperlink"/>
            <w:noProof/>
          </w:rPr>
          <w:t>2.1.3</w:t>
        </w:r>
        <w:r w:rsidR="00F76FA8">
          <w:rPr>
            <w:rFonts w:eastAsiaTheme="minorEastAsia" w:cstheme="minorBidi"/>
            <w:i w:val="0"/>
            <w:iCs w:val="0"/>
            <w:noProof/>
            <w:sz w:val="22"/>
            <w:szCs w:val="22"/>
            <w:lang w:eastAsia="en-GB" w:bidi="ar-SA"/>
          </w:rPr>
          <w:tab/>
        </w:r>
        <w:r w:rsidR="00F76FA8" w:rsidRPr="008D60DD">
          <w:rPr>
            <w:rStyle w:val="Hyperlink"/>
            <w:noProof/>
          </w:rPr>
          <w:t>Technological justification for the enzyme</w:t>
        </w:r>
        <w:r w:rsidR="00F76FA8">
          <w:rPr>
            <w:noProof/>
            <w:webHidden/>
          </w:rPr>
          <w:tab/>
        </w:r>
        <w:r w:rsidR="00F76FA8">
          <w:rPr>
            <w:noProof/>
            <w:webHidden/>
          </w:rPr>
          <w:fldChar w:fldCharType="begin"/>
        </w:r>
        <w:r w:rsidR="00F76FA8">
          <w:rPr>
            <w:noProof/>
            <w:webHidden/>
          </w:rPr>
          <w:instrText xml:space="preserve"> PAGEREF _Toc528851084 \h </w:instrText>
        </w:r>
        <w:r w:rsidR="00F76FA8">
          <w:rPr>
            <w:noProof/>
            <w:webHidden/>
          </w:rPr>
        </w:r>
        <w:r w:rsidR="00F76FA8">
          <w:rPr>
            <w:noProof/>
            <w:webHidden/>
          </w:rPr>
          <w:fldChar w:fldCharType="separate"/>
        </w:r>
        <w:r w:rsidR="00F76FA8">
          <w:rPr>
            <w:noProof/>
            <w:webHidden/>
          </w:rPr>
          <w:t>4</w:t>
        </w:r>
        <w:r w:rsidR="00F76FA8">
          <w:rPr>
            <w:noProof/>
            <w:webHidden/>
          </w:rPr>
          <w:fldChar w:fldCharType="end"/>
        </w:r>
      </w:hyperlink>
    </w:p>
    <w:p w14:paraId="6071F6AF" w14:textId="79C8064F" w:rsidR="00F76FA8" w:rsidRDefault="0022370D">
      <w:pPr>
        <w:pStyle w:val="TOC2"/>
        <w:tabs>
          <w:tab w:val="left" w:pos="880"/>
          <w:tab w:val="right" w:leader="dot" w:pos="9060"/>
        </w:tabs>
        <w:rPr>
          <w:rFonts w:eastAsiaTheme="minorEastAsia" w:cstheme="minorBidi"/>
          <w:smallCaps w:val="0"/>
          <w:noProof/>
          <w:sz w:val="22"/>
          <w:szCs w:val="22"/>
          <w:lang w:eastAsia="en-GB" w:bidi="ar-SA"/>
        </w:rPr>
      </w:pPr>
      <w:hyperlink w:anchor="_Toc528851085" w:history="1">
        <w:r w:rsidR="00F76FA8" w:rsidRPr="008D60DD">
          <w:rPr>
            <w:rStyle w:val="Hyperlink"/>
            <w:noProof/>
          </w:rPr>
          <w:t>2.2</w:t>
        </w:r>
        <w:r w:rsidR="00F76FA8">
          <w:rPr>
            <w:rFonts w:eastAsiaTheme="minorEastAsia" w:cstheme="minorBidi"/>
            <w:smallCaps w:val="0"/>
            <w:noProof/>
            <w:sz w:val="22"/>
            <w:szCs w:val="22"/>
            <w:lang w:eastAsia="en-GB" w:bidi="ar-SA"/>
          </w:rPr>
          <w:tab/>
        </w:r>
        <w:r w:rsidR="00F76FA8" w:rsidRPr="008D60DD">
          <w:rPr>
            <w:rStyle w:val="Hyperlink"/>
            <w:noProof/>
          </w:rPr>
          <w:t>Manufacturing process</w:t>
        </w:r>
        <w:r w:rsidR="00F76FA8">
          <w:rPr>
            <w:noProof/>
            <w:webHidden/>
          </w:rPr>
          <w:tab/>
        </w:r>
        <w:r w:rsidR="00F76FA8">
          <w:rPr>
            <w:noProof/>
            <w:webHidden/>
          </w:rPr>
          <w:fldChar w:fldCharType="begin"/>
        </w:r>
        <w:r w:rsidR="00F76FA8">
          <w:rPr>
            <w:noProof/>
            <w:webHidden/>
          </w:rPr>
          <w:instrText xml:space="preserve"> PAGEREF _Toc528851085 \h </w:instrText>
        </w:r>
        <w:r w:rsidR="00F76FA8">
          <w:rPr>
            <w:noProof/>
            <w:webHidden/>
          </w:rPr>
        </w:r>
        <w:r w:rsidR="00F76FA8">
          <w:rPr>
            <w:noProof/>
            <w:webHidden/>
          </w:rPr>
          <w:fldChar w:fldCharType="separate"/>
        </w:r>
        <w:r w:rsidR="00F76FA8">
          <w:rPr>
            <w:noProof/>
            <w:webHidden/>
          </w:rPr>
          <w:t>5</w:t>
        </w:r>
        <w:r w:rsidR="00F76FA8">
          <w:rPr>
            <w:noProof/>
            <w:webHidden/>
          </w:rPr>
          <w:fldChar w:fldCharType="end"/>
        </w:r>
      </w:hyperlink>
    </w:p>
    <w:p w14:paraId="0F118B0B" w14:textId="4AEC5EA6"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086" w:history="1">
        <w:r w:rsidR="00F76FA8" w:rsidRPr="008D60DD">
          <w:rPr>
            <w:rStyle w:val="Hyperlink"/>
            <w:noProof/>
          </w:rPr>
          <w:t>2.2.1</w:t>
        </w:r>
        <w:r w:rsidR="00F76FA8">
          <w:rPr>
            <w:rFonts w:eastAsiaTheme="minorEastAsia" w:cstheme="minorBidi"/>
            <w:i w:val="0"/>
            <w:iCs w:val="0"/>
            <w:noProof/>
            <w:sz w:val="22"/>
            <w:szCs w:val="22"/>
            <w:lang w:eastAsia="en-GB" w:bidi="ar-SA"/>
          </w:rPr>
          <w:tab/>
        </w:r>
        <w:r w:rsidR="00F76FA8" w:rsidRPr="008D60DD">
          <w:rPr>
            <w:rStyle w:val="Hyperlink"/>
            <w:noProof/>
          </w:rPr>
          <w:t>Production of the enzyme</w:t>
        </w:r>
        <w:r w:rsidR="00F76FA8">
          <w:rPr>
            <w:noProof/>
            <w:webHidden/>
          </w:rPr>
          <w:tab/>
        </w:r>
        <w:r w:rsidR="00F76FA8">
          <w:rPr>
            <w:noProof/>
            <w:webHidden/>
          </w:rPr>
          <w:fldChar w:fldCharType="begin"/>
        </w:r>
        <w:r w:rsidR="00F76FA8">
          <w:rPr>
            <w:noProof/>
            <w:webHidden/>
          </w:rPr>
          <w:instrText xml:space="preserve"> PAGEREF _Toc528851086 \h </w:instrText>
        </w:r>
        <w:r w:rsidR="00F76FA8">
          <w:rPr>
            <w:noProof/>
            <w:webHidden/>
          </w:rPr>
        </w:r>
        <w:r w:rsidR="00F76FA8">
          <w:rPr>
            <w:noProof/>
            <w:webHidden/>
          </w:rPr>
          <w:fldChar w:fldCharType="separate"/>
        </w:r>
        <w:r w:rsidR="00F76FA8">
          <w:rPr>
            <w:noProof/>
            <w:webHidden/>
          </w:rPr>
          <w:t>5</w:t>
        </w:r>
        <w:r w:rsidR="00F76FA8">
          <w:rPr>
            <w:noProof/>
            <w:webHidden/>
          </w:rPr>
          <w:fldChar w:fldCharType="end"/>
        </w:r>
      </w:hyperlink>
    </w:p>
    <w:p w14:paraId="2F0FD4F4" w14:textId="077F7137"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087" w:history="1">
        <w:r w:rsidR="00F76FA8" w:rsidRPr="008D60DD">
          <w:rPr>
            <w:rStyle w:val="Hyperlink"/>
            <w:noProof/>
          </w:rPr>
          <w:t>2.2.2</w:t>
        </w:r>
        <w:r w:rsidR="00F76FA8">
          <w:rPr>
            <w:rFonts w:eastAsiaTheme="minorEastAsia" w:cstheme="minorBidi"/>
            <w:i w:val="0"/>
            <w:iCs w:val="0"/>
            <w:noProof/>
            <w:sz w:val="22"/>
            <w:szCs w:val="22"/>
            <w:lang w:eastAsia="en-GB" w:bidi="ar-SA"/>
          </w:rPr>
          <w:tab/>
        </w:r>
        <w:r w:rsidR="00F76FA8" w:rsidRPr="008D60DD">
          <w:rPr>
            <w:rStyle w:val="Hyperlink"/>
            <w:noProof/>
          </w:rPr>
          <w:t>Specifications</w:t>
        </w:r>
        <w:r w:rsidR="00F76FA8">
          <w:rPr>
            <w:noProof/>
            <w:webHidden/>
          </w:rPr>
          <w:tab/>
        </w:r>
        <w:r w:rsidR="00F76FA8">
          <w:rPr>
            <w:noProof/>
            <w:webHidden/>
          </w:rPr>
          <w:fldChar w:fldCharType="begin"/>
        </w:r>
        <w:r w:rsidR="00F76FA8">
          <w:rPr>
            <w:noProof/>
            <w:webHidden/>
          </w:rPr>
          <w:instrText xml:space="preserve"> PAGEREF _Toc528851087 \h </w:instrText>
        </w:r>
        <w:r w:rsidR="00F76FA8">
          <w:rPr>
            <w:noProof/>
            <w:webHidden/>
          </w:rPr>
        </w:r>
        <w:r w:rsidR="00F76FA8">
          <w:rPr>
            <w:noProof/>
            <w:webHidden/>
          </w:rPr>
          <w:fldChar w:fldCharType="separate"/>
        </w:r>
        <w:r w:rsidR="00F76FA8">
          <w:rPr>
            <w:noProof/>
            <w:webHidden/>
          </w:rPr>
          <w:t>6</w:t>
        </w:r>
        <w:r w:rsidR="00F76FA8">
          <w:rPr>
            <w:noProof/>
            <w:webHidden/>
          </w:rPr>
          <w:fldChar w:fldCharType="end"/>
        </w:r>
      </w:hyperlink>
    </w:p>
    <w:p w14:paraId="0D6951B6" w14:textId="7ABDB14A"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088" w:history="1">
        <w:r w:rsidR="00F76FA8" w:rsidRPr="008D60DD">
          <w:rPr>
            <w:rStyle w:val="Hyperlink"/>
            <w:noProof/>
          </w:rPr>
          <w:t>2.2.3</w:t>
        </w:r>
        <w:r w:rsidR="00F76FA8">
          <w:rPr>
            <w:rFonts w:eastAsiaTheme="minorEastAsia" w:cstheme="minorBidi"/>
            <w:i w:val="0"/>
            <w:iCs w:val="0"/>
            <w:noProof/>
            <w:sz w:val="22"/>
            <w:szCs w:val="22"/>
            <w:lang w:eastAsia="en-GB" w:bidi="ar-SA"/>
          </w:rPr>
          <w:tab/>
        </w:r>
        <w:r w:rsidR="00F76FA8" w:rsidRPr="008D60DD">
          <w:rPr>
            <w:rStyle w:val="Hyperlink"/>
            <w:noProof/>
          </w:rPr>
          <w:t>Stability</w:t>
        </w:r>
        <w:r w:rsidR="00F76FA8">
          <w:rPr>
            <w:noProof/>
            <w:webHidden/>
          </w:rPr>
          <w:tab/>
        </w:r>
        <w:r w:rsidR="00F76FA8">
          <w:rPr>
            <w:noProof/>
            <w:webHidden/>
          </w:rPr>
          <w:fldChar w:fldCharType="begin"/>
        </w:r>
        <w:r w:rsidR="00F76FA8">
          <w:rPr>
            <w:noProof/>
            <w:webHidden/>
          </w:rPr>
          <w:instrText xml:space="preserve"> PAGEREF _Toc528851088 \h </w:instrText>
        </w:r>
        <w:r w:rsidR="00F76FA8">
          <w:rPr>
            <w:noProof/>
            <w:webHidden/>
          </w:rPr>
        </w:r>
        <w:r w:rsidR="00F76FA8">
          <w:rPr>
            <w:noProof/>
            <w:webHidden/>
          </w:rPr>
          <w:fldChar w:fldCharType="separate"/>
        </w:r>
        <w:r w:rsidR="00F76FA8">
          <w:rPr>
            <w:noProof/>
            <w:webHidden/>
          </w:rPr>
          <w:t>8</w:t>
        </w:r>
        <w:r w:rsidR="00F76FA8">
          <w:rPr>
            <w:noProof/>
            <w:webHidden/>
          </w:rPr>
          <w:fldChar w:fldCharType="end"/>
        </w:r>
      </w:hyperlink>
    </w:p>
    <w:p w14:paraId="1C706805" w14:textId="6EADA9DF" w:rsidR="00F76FA8" w:rsidRDefault="0022370D">
      <w:pPr>
        <w:pStyle w:val="TOC2"/>
        <w:tabs>
          <w:tab w:val="left" w:pos="880"/>
          <w:tab w:val="right" w:leader="dot" w:pos="9060"/>
        </w:tabs>
        <w:rPr>
          <w:rFonts w:eastAsiaTheme="minorEastAsia" w:cstheme="minorBidi"/>
          <w:smallCaps w:val="0"/>
          <w:noProof/>
          <w:sz w:val="22"/>
          <w:szCs w:val="22"/>
          <w:lang w:eastAsia="en-GB" w:bidi="ar-SA"/>
        </w:rPr>
      </w:pPr>
      <w:hyperlink w:anchor="_Toc528851089" w:history="1">
        <w:r w:rsidR="00F76FA8" w:rsidRPr="008D60DD">
          <w:rPr>
            <w:rStyle w:val="Hyperlink"/>
            <w:noProof/>
          </w:rPr>
          <w:t>2.3</w:t>
        </w:r>
        <w:r w:rsidR="00F76FA8">
          <w:rPr>
            <w:rFonts w:eastAsiaTheme="minorEastAsia" w:cstheme="minorBidi"/>
            <w:smallCaps w:val="0"/>
            <w:noProof/>
            <w:sz w:val="22"/>
            <w:szCs w:val="22"/>
            <w:lang w:eastAsia="en-GB" w:bidi="ar-SA"/>
          </w:rPr>
          <w:tab/>
        </w:r>
        <w:r w:rsidR="00F76FA8" w:rsidRPr="008D60DD">
          <w:rPr>
            <w:rStyle w:val="Hyperlink"/>
            <w:noProof/>
          </w:rPr>
          <w:t>Food technology conclusion</w:t>
        </w:r>
        <w:r w:rsidR="00F76FA8">
          <w:rPr>
            <w:noProof/>
            <w:webHidden/>
          </w:rPr>
          <w:tab/>
        </w:r>
        <w:r w:rsidR="00F76FA8">
          <w:rPr>
            <w:noProof/>
            <w:webHidden/>
          </w:rPr>
          <w:fldChar w:fldCharType="begin"/>
        </w:r>
        <w:r w:rsidR="00F76FA8">
          <w:rPr>
            <w:noProof/>
            <w:webHidden/>
          </w:rPr>
          <w:instrText xml:space="preserve"> PAGEREF _Toc528851089 \h </w:instrText>
        </w:r>
        <w:r w:rsidR="00F76FA8">
          <w:rPr>
            <w:noProof/>
            <w:webHidden/>
          </w:rPr>
        </w:r>
        <w:r w:rsidR="00F76FA8">
          <w:rPr>
            <w:noProof/>
            <w:webHidden/>
          </w:rPr>
          <w:fldChar w:fldCharType="separate"/>
        </w:r>
        <w:r w:rsidR="00F76FA8">
          <w:rPr>
            <w:noProof/>
            <w:webHidden/>
          </w:rPr>
          <w:t>8</w:t>
        </w:r>
        <w:r w:rsidR="00F76FA8">
          <w:rPr>
            <w:noProof/>
            <w:webHidden/>
          </w:rPr>
          <w:fldChar w:fldCharType="end"/>
        </w:r>
      </w:hyperlink>
    </w:p>
    <w:p w14:paraId="1F534470" w14:textId="412FE8EE" w:rsidR="00F76FA8" w:rsidRDefault="0022370D">
      <w:pPr>
        <w:pStyle w:val="TOC1"/>
        <w:tabs>
          <w:tab w:val="right" w:leader="dot" w:pos="9060"/>
        </w:tabs>
        <w:rPr>
          <w:rFonts w:eastAsiaTheme="minorEastAsia" w:cstheme="minorBidi"/>
          <w:b w:val="0"/>
          <w:bCs w:val="0"/>
          <w:caps w:val="0"/>
          <w:noProof/>
          <w:sz w:val="22"/>
          <w:szCs w:val="22"/>
          <w:lang w:eastAsia="en-GB" w:bidi="ar-SA"/>
        </w:rPr>
      </w:pPr>
      <w:hyperlink w:anchor="_Toc528851090" w:history="1">
        <w:r w:rsidR="00F76FA8" w:rsidRPr="008D60DD">
          <w:rPr>
            <w:rStyle w:val="Hyperlink"/>
            <w:noProof/>
          </w:rPr>
          <w:t>3 Safety assessment</w:t>
        </w:r>
        <w:r w:rsidR="00F76FA8">
          <w:rPr>
            <w:noProof/>
            <w:webHidden/>
          </w:rPr>
          <w:tab/>
        </w:r>
        <w:r w:rsidR="00F76FA8">
          <w:rPr>
            <w:noProof/>
            <w:webHidden/>
          </w:rPr>
          <w:fldChar w:fldCharType="begin"/>
        </w:r>
        <w:r w:rsidR="00F76FA8">
          <w:rPr>
            <w:noProof/>
            <w:webHidden/>
          </w:rPr>
          <w:instrText xml:space="preserve"> PAGEREF _Toc528851090 \h </w:instrText>
        </w:r>
        <w:r w:rsidR="00F76FA8">
          <w:rPr>
            <w:noProof/>
            <w:webHidden/>
          </w:rPr>
        </w:r>
        <w:r w:rsidR="00F76FA8">
          <w:rPr>
            <w:noProof/>
            <w:webHidden/>
          </w:rPr>
          <w:fldChar w:fldCharType="separate"/>
        </w:r>
        <w:r w:rsidR="00F76FA8">
          <w:rPr>
            <w:noProof/>
            <w:webHidden/>
          </w:rPr>
          <w:t>8</w:t>
        </w:r>
        <w:r w:rsidR="00F76FA8">
          <w:rPr>
            <w:noProof/>
            <w:webHidden/>
          </w:rPr>
          <w:fldChar w:fldCharType="end"/>
        </w:r>
      </w:hyperlink>
    </w:p>
    <w:p w14:paraId="58752E24" w14:textId="0DF79EA9" w:rsidR="00F76FA8" w:rsidRDefault="0022370D">
      <w:pPr>
        <w:pStyle w:val="TOC2"/>
        <w:tabs>
          <w:tab w:val="left" w:pos="880"/>
          <w:tab w:val="right" w:leader="dot" w:pos="9060"/>
        </w:tabs>
        <w:rPr>
          <w:rFonts w:eastAsiaTheme="minorEastAsia" w:cstheme="minorBidi"/>
          <w:smallCaps w:val="0"/>
          <w:noProof/>
          <w:sz w:val="22"/>
          <w:szCs w:val="22"/>
          <w:lang w:eastAsia="en-GB" w:bidi="ar-SA"/>
        </w:rPr>
      </w:pPr>
      <w:hyperlink w:anchor="_Toc528851091" w:history="1">
        <w:r w:rsidR="00F76FA8" w:rsidRPr="008D60DD">
          <w:rPr>
            <w:rStyle w:val="Hyperlink"/>
            <w:noProof/>
          </w:rPr>
          <w:t>3.1</w:t>
        </w:r>
        <w:r w:rsidR="00F76FA8">
          <w:rPr>
            <w:rFonts w:eastAsiaTheme="minorEastAsia" w:cstheme="minorBidi"/>
            <w:smallCaps w:val="0"/>
            <w:noProof/>
            <w:sz w:val="22"/>
            <w:szCs w:val="22"/>
            <w:lang w:eastAsia="en-GB" w:bidi="ar-SA"/>
          </w:rPr>
          <w:tab/>
        </w:r>
        <w:r w:rsidR="00F76FA8" w:rsidRPr="008D60DD">
          <w:rPr>
            <w:rStyle w:val="Hyperlink"/>
            <w:noProof/>
          </w:rPr>
          <w:t>History of use</w:t>
        </w:r>
        <w:r w:rsidR="00F76FA8">
          <w:rPr>
            <w:noProof/>
            <w:webHidden/>
          </w:rPr>
          <w:tab/>
        </w:r>
        <w:r w:rsidR="00F76FA8">
          <w:rPr>
            <w:noProof/>
            <w:webHidden/>
          </w:rPr>
          <w:fldChar w:fldCharType="begin"/>
        </w:r>
        <w:r w:rsidR="00F76FA8">
          <w:rPr>
            <w:noProof/>
            <w:webHidden/>
          </w:rPr>
          <w:instrText xml:space="preserve"> PAGEREF _Toc528851091 \h </w:instrText>
        </w:r>
        <w:r w:rsidR="00F76FA8">
          <w:rPr>
            <w:noProof/>
            <w:webHidden/>
          </w:rPr>
        </w:r>
        <w:r w:rsidR="00F76FA8">
          <w:rPr>
            <w:noProof/>
            <w:webHidden/>
          </w:rPr>
          <w:fldChar w:fldCharType="separate"/>
        </w:r>
        <w:r w:rsidR="00F76FA8">
          <w:rPr>
            <w:noProof/>
            <w:webHidden/>
          </w:rPr>
          <w:t>8</w:t>
        </w:r>
        <w:r w:rsidR="00F76FA8">
          <w:rPr>
            <w:noProof/>
            <w:webHidden/>
          </w:rPr>
          <w:fldChar w:fldCharType="end"/>
        </w:r>
      </w:hyperlink>
    </w:p>
    <w:p w14:paraId="2277F06C" w14:textId="77D3708E"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092" w:history="1">
        <w:r w:rsidR="00F76FA8" w:rsidRPr="008D60DD">
          <w:rPr>
            <w:rStyle w:val="Hyperlink"/>
            <w:noProof/>
          </w:rPr>
          <w:t>3.1.1</w:t>
        </w:r>
        <w:r w:rsidR="00F76FA8">
          <w:rPr>
            <w:rFonts w:eastAsiaTheme="minorEastAsia" w:cstheme="minorBidi"/>
            <w:i w:val="0"/>
            <w:iCs w:val="0"/>
            <w:noProof/>
            <w:sz w:val="22"/>
            <w:szCs w:val="22"/>
            <w:lang w:eastAsia="en-GB" w:bidi="ar-SA"/>
          </w:rPr>
          <w:tab/>
        </w:r>
        <w:r w:rsidR="00F76FA8" w:rsidRPr="008D60DD">
          <w:rPr>
            <w:rStyle w:val="Hyperlink"/>
            <w:noProof/>
          </w:rPr>
          <w:t>Host organism</w:t>
        </w:r>
        <w:r w:rsidR="00F76FA8">
          <w:rPr>
            <w:noProof/>
            <w:webHidden/>
          </w:rPr>
          <w:tab/>
        </w:r>
        <w:r w:rsidR="00F76FA8">
          <w:rPr>
            <w:noProof/>
            <w:webHidden/>
          </w:rPr>
          <w:fldChar w:fldCharType="begin"/>
        </w:r>
        <w:r w:rsidR="00F76FA8">
          <w:rPr>
            <w:noProof/>
            <w:webHidden/>
          </w:rPr>
          <w:instrText xml:space="preserve"> PAGEREF _Toc528851092 \h </w:instrText>
        </w:r>
        <w:r w:rsidR="00F76FA8">
          <w:rPr>
            <w:noProof/>
            <w:webHidden/>
          </w:rPr>
        </w:r>
        <w:r w:rsidR="00F76FA8">
          <w:rPr>
            <w:noProof/>
            <w:webHidden/>
          </w:rPr>
          <w:fldChar w:fldCharType="separate"/>
        </w:r>
        <w:r w:rsidR="00F76FA8">
          <w:rPr>
            <w:noProof/>
            <w:webHidden/>
          </w:rPr>
          <w:t>8</w:t>
        </w:r>
        <w:r w:rsidR="00F76FA8">
          <w:rPr>
            <w:noProof/>
            <w:webHidden/>
          </w:rPr>
          <w:fldChar w:fldCharType="end"/>
        </w:r>
      </w:hyperlink>
    </w:p>
    <w:p w14:paraId="6E4F34CD" w14:textId="2546DE4A"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093" w:history="1">
        <w:r w:rsidR="00F76FA8" w:rsidRPr="008D60DD">
          <w:rPr>
            <w:rStyle w:val="Hyperlink"/>
            <w:noProof/>
          </w:rPr>
          <w:t>3.1.2</w:t>
        </w:r>
        <w:r w:rsidR="00F76FA8">
          <w:rPr>
            <w:rFonts w:eastAsiaTheme="minorEastAsia" w:cstheme="minorBidi"/>
            <w:i w:val="0"/>
            <w:iCs w:val="0"/>
            <w:noProof/>
            <w:sz w:val="22"/>
            <w:szCs w:val="22"/>
            <w:lang w:eastAsia="en-GB" w:bidi="ar-SA"/>
          </w:rPr>
          <w:tab/>
        </w:r>
        <w:r w:rsidR="00F76FA8" w:rsidRPr="008D60DD">
          <w:rPr>
            <w:rStyle w:val="Hyperlink"/>
            <w:noProof/>
          </w:rPr>
          <w:t>Gene donor organisms</w:t>
        </w:r>
        <w:r w:rsidR="00F76FA8">
          <w:rPr>
            <w:noProof/>
            <w:webHidden/>
          </w:rPr>
          <w:tab/>
        </w:r>
        <w:r w:rsidR="00F76FA8">
          <w:rPr>
            <w:noProof/>
            <w:webHidden/>
          </w:rPr>
          <w:fldChar w:fldCharType="begin"/>
        </w:r>
        <w:r w:rsidR="00F76FA8">
          <w:rPr>
            <w:noProof/>
            <w:webHidden/>
          </w:rPr>
          <w:instrText xml:space="preserve"> PAGEREF _Toc528851093 \h </w:instrText>
        </w:r>
        <w:r w:rsidR="00F76FA8">
          <w:rPr>
            <w:noProof/>
            <w:webHidden/>
          </w:rPr>
        </w:r>
        <w:r w:rsidR="00F76FA8">
          <w:rPr>
            <w:noProof/>
            <w:webHidden/>
          </w:rPr>
          <w:fldChar w:fldCharType="separate"/>
        </w:r>
        <w:r w:rsidR="00F76FA8">
          <w:rPr>
            <w:noProof/>
            <w:webHidden/>
          </w:rPr>
          <w:t>9</w:t>
        </w:r>
        <w:r w:rsidR="00F76FA8">
          <w:rPr>
            <w:noProof/>
            <w:webHidden/>
          </w:rPr>
          <w:fldChar w:fldCharType="end"/>
        </w:r>
      </w:hyperlink>
    </w:p>
    <w:p w14:paraId="6FA986F1" w14:textId="7FF4120A" w:rsidR="00F76FA8" w:rsidRDefault="0022370D">
      <w:pPr>
        <w:pStyle w:val="TOC2"/>
        <w:tabs>
          <w:tab w:val="left" w:pos="880"/>
          <w:tab w:val="right" w:leader="dot" w:pos="9060"/>
        </w:tabs>
        <w:rPr>
          <w:rFonts w:eastAsiaTheme="minorEastAsia" w:cstheme="minorBidi"/>
          <w:smallCaps w:val="0"/>
          <w:noProof/>
          <w:sz w:val="22"/>
          <w:szCs w:val="22"/>
          <w:lang w:eastAsia="en-GB" w:bidi="ar-SA"/>
        </w:rPr>
      </w:pPr>
      <w:hyperlink w:anchor="_Toc528851094" w:history="1">
        <w:r w:rsidR="00F76FA8" w:rsidRPr="008D60DD">
          <w:rPr>
            <w:rStyle w:val="Hyperlink"/>
            <w:noProof/>
          </w:rPr>
          <w:t>3.2</w:t>
        </w:r>
        <w:r w:rsidR="00F76FA8">
          <w:rPr>
            <w:rFonts w:eastAsiaTheme="minorEastAsia" w:cstheme="minorBidi"/>
            <w:smallCaps w:val="0"/>
            <w:noProof/>
            <w:sz w:val="22"/>
            <w:szCs w:val="22"/>
            <w:lang w:eastAsia="en-GB" w:bidi="ar-SA"/>
          </w:rPr>
          <w:tab/>
        </w:r>
        <w:r w:rsidR="00F76FA8" w:rsidRPr="008D60DD">
          <w:rPr>
            <w:rStyle w:val="Hyperlink"/>
            <w:noProof/>
          </w:rPr>
          <w:t>Characterisation of the genetic modification(s)</w:t>
        </w:r>
        <w:r w:rsidR="00F76FA8">
          <w:rPr>
            <w:noProof/>
            <w:webHidden/>
          </w:rPr>
          <w:tab/>
        </w:r>
        <w:r w:rsidR="00F76FA8">
          <w:rPr>
            <w:noProof/>
            <w:webHidden/>
          </w:rPr>
          <w:fldChar w:fldCharType="begin"/>
        </w:r>
        <w:r w:rsidR="00F76FA8">
          <w:rPr>
            <w:noProof/>
            <w:webHidden/>
          </w:rPr>
          <w:instrText xml:space="preserve"> PAGEREF _Toc528851094 \h </w:instrText>
        </w:r>
        <w:r w:rsidR="00F76FA8">
          <w:rPr>
            <w:noProof/>
            <w:webHidden/>
          </w:rPr>
        </w:r>
        <w:r w:rsidR="00F76FA8">
          <w:rPr>
            <w:noProof/>
            <w:webHidden/>
          </w:rPr>
          <w:fldChar w:fldCharType="separate"/>
        </w:r>
        <w:r w:rsidR="00F76FA8">
          <w:rPr>
            <w:noProof/>
            <w:webHidden/>
          </w:rPr>
          <w:t>9</w:t>
        </w:r>
        <w:r w:rsidR="00F76FA8">
          <w:rPr>
            <w:noProof/>
            <w:webHidden/>
          </w:rPr>
          <w:fldChar w:fldCharType="end"/>
        </w:r>
      </w:hyperlink>
    </w:p>
    <w:p w14:paraId="55AAD019" w14:textId="0B0196ED"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095" w:history="1">
        <w:r w:rsidR="00F76FA8" w:rsidRPr="008D60DD">
          <w:rPr>
            <w:rStyle w:val="Hyperlink"/>
            <w:noProof/>
          </w:rPr>
          <w:t>3.2.1</w:t>
        </w:r>
        <w:r w:rsidR="00F76FA8">
          <w:rPr>
            <w:rFonts w:eastAsiaTheme="minorEastAsia" w:cstheme="minorBidi"/>
            <w:i w:val="0"/>
            <w:iCs w:val="0"/>
            <w:noProof/>
            <w:sz w:val="22"/>
            <w:szCs w:val="22"/>
            <w:lang w:eastAsia="en-GB" w:bidi="ar-SA"/>
          </w:rPr>
          <w:tab/>
        </w:r>
        <w:r w:rsidR="00F76FA8" w:rsidRPr="008D60DD">
          <w:rPr>
            <w:rStyle w:val="Hyperlink"/>
            <w:noProof/>
          </w:rPr>
          <w:t>Description of DNA to be introduced and method of transformation</w:t>
        </w:r>
        <w:r w:rsidR="00F76FA8">
          <w:rPr>
            <w:noProof/>
            <w:webHidden/>
          </w:rPr>
          <w:tab/>
        </w:r>
        <w:r w:rsidR="00F76FA8">
          <w:rPr>
            <w:noProof/>
            <w:webHidden/>
          </w:rPr>
          <w:fldChar w:fldCharType="begin"/>
        </w:r>
        <w:r w:rsidR="00F76FA8">
          <w:rPr>
            <w:noProof/>
            <w:webHidden/>
          </w:rPr>
          <w:instrText xml:space="preserve"> PAGEREF _Toc528851095 \h </w:instrText>
        </w:r>
        <w:r w:rsidR="00F76FA8">
          <w:rPr>
            <w:noProof/>
            <w:webHidden/>
          </w:rPr>
        </w:r>
        <w:r w:rsidR="00F76FA8">
          <w:rPr>
            <w:noProof/>
            <w:webHidden/>
          </w:rPr>
          <w:fldChar w:fldCharType="separate"/>
        </w:r>
        <w:r w:rsidR="00F76FA8">
          <w:rPr>
            <w:noProof/>
            <w:webHidden/>
          </w:rPr>
          <w:t>9</w:t>
        </w:r>
        <w:r w:rsidR="00F76FA8">
          <w:rPr>
            <w:noProof/>
            <w:webHidden/>
          </w:rPr>
          <w:fldChar w:fldCharType="end"/>
        </w:r>
      </w:hyperlink>
    </w:p>
    <w:p w14:paraId="14FE355D" w14:textId="794A6330"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096" w:history="1">
        <w:r w:rsidR="00F76FA8" w:rsidRPr="008D60DD">
          <w:rPr>
            <w:rStyle w:val="Hyperlink"/>
            <w:noProof/>
          </w:rPr>
          <w:t>3.2.2</w:t>
        </w:r>
        <w:r w:rsidR="00F76FA8">
          <w:rPr>
            <w:rFonts w:eastAsiaTheme="minorEastAsia" w:cstheme="minorBidi"/>
            <w:i w:val="0"/>
            <w:iCs w:val="0"/>
            <w:noProof/>
            <w:sz w:val="22"/>
            <w:szCs w:val="22"/>
            <w:lang w:eastAsia="en-GB" w:bidi="ar-SA"/>
          </w:rPr>
          <w:tab/>
        </w:r>
        <w:r w:rsidR="00F76FA8" w:rsidRPr="008D60DD">
          <w:rPr>
            <w:rStyle w:val="Hyperlink"/>
            <w:noProof/>
          </w:rPr>
          <w:t>Characterisation of inserted DNA</w:t>
        </w:r>
        <w:r w:rsidR="00F76FA8">
          <w:rPr>
            <w:noProof/>
            <w:webHidden/>
          </w:rPr>
          <w:tab/>
        </w:r>
        <w:r w:rsidR="00F76FA8">
          <w:rPr>
            <w:noProof/>
            <w:webHidden/>
          </w:rPr>
          <w:fldChar w:fldCharType="begin"/>
        </w:r>
        <w:r w:rsidR="00F76FA8">
          <w:rPr>
            <w:noProof/>
            <w:webHidden/>
          </w:rPr>
          <w:instrText xml:space="preserve"> PAGEREF _Toc528851096 \h </w:instrText>
        </w:r>
        <w:r w:rsidR="00F76FA8">
          <w:rPr>
            <w:noProof/>
            <w:webHidden/>
          </w:rPr>
        </w:r>
        <w:r w:rsidR="00F76FA8">
          <w:rPr>
            <w:noProof/>
            <w:webHidden/>
          </w:rPr>
          <w:fldChar w:fldCharType="separate"/>
        </w:r>
        <w:r w:rsidR="00F76FA8">
          <w:rPr>
            <w:noProof/>
            <w:webHidden/>
          </w:rPr>
          <w:t>9</w:t>
        </w:r>
        <w:r w:rsidR="00F76FA8">
          <w:rPr>
            <w:noProof/>
            <w:webHidden/>
          </w:rPr>
          <w:fldChar w:fldCharType="end"/>
        </w:r>
      </w:hyperlink>
    </w:p>
    <w:p w14:paraId="7751E1EF" w14:textId="4930BF91"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097" w:history="1">
        <w:r w:rsidR="00F76FA8" w:rsidRPr="008D60DD">
          <w:rPr>
            <w:rStyle w:val="Hyperlink"/>
            <w:noProof/>
          </w:rPr>
          <w:t>3.2.3</w:t>
        </w:r>
        <w:r w:rsidR="00F76FA8">
          <w:rPr>
            <w:rFonts w:eastAsiaTheme="minorEastAsia" w:cstheme="minorBidi"/>
            <w:i w:val="0"/>
            <w:iCs w:val="0"/>
            <w:noProof/>
            <w:sz w:val="22"/>
            <w:szCs w:val="22"/>
            <w:lang w:eastAsia="en-GB" w:bidi="ar-SA"/>
          </w:rPr>
          <w:tab/>
        </w:r>
        <w:r w:rsidR="00F76FA8" w:rsidRPr="008D60DD">
          <w:rPr>
            <w:rStyle w:val="Hyperlink"/>
            <w:noProof/>
          </w:rPr>
          <w:t>Genetic stability of the inserted gene</w:t>
        </w:r>
        <w:r w:rsidR="00F76FA8">
          <w:rPr>
            <w:noProof/>
            <w:webHidden/>
          </w:rPr>
          <w:tab/>
        </w:r>
        <w:r w:rsidR="00F76FA8">
          <w:rPr>
            <w:noProof/>
            <w:webHidden/>
          </w:rPr>
          <w:fldChar w:fldCharType="begin"/>
        </w:r>
        <w:r w:rsidR="00F76FA8">
          <w:rPr>
            <w:noProof/>
            <w:webHidden/>
          </w:rPr>
          <w:instrText xml:space="preserve"> PAGEREF _Toc528851097 \h </w:instrText>
        </w:r>
        <w:r w:rsidR="00F76FA8">
          <w:rPr>
            <w:noProof/>
            <w:webHidden/>
          </w:rPr>
        </w:r>
        <w:r w:rsidR="00F76FA8">
          <w:rPr>
            <w:noProof/>
            <w:webHidden/>
          </w:rPr>
          <w:fldChar w:fldCharType="separate"/>
        </w:r>
        <w:r w:rsidR="00F76FA8">
          <w:rPr>
            <w:noProof/>
            <w:webHidden/>
          </w:rPr>
          <w:t>10</w:t>
        </w:r>
        <w:r w:rsidR="00F76FA8">
          <w:rPr>
            <w:noProof/>
            <w:webHidden/>
          </w:rPr>
          <w:fldChar w:fldCharType="end"/>
        </w:r>
      </w:hyperlink>
    </w:p>
    <w:p w14:paraId="1B559406" w14:textId="684B4D40" w:rsidR="00F76FA8" w:rsidRDefault="0022370D">
      <w:pPr>
        <w:pStyle w:val="TOC2"/>
        <w:tabs>
          <w:tab w:val="left" w:pos="880"/>
          <w:tab w:val="right" w:leader="dot" w:pos="9060"/>
        </w:tabs>
        <w:rPr>
          <w:rFonts w:eastAsiaTheme="minorEastAsia" w:cstheme="minorBidi"/>
          <w:smallCaps w:val="0"/>
          <w:noProof/>
          <w:sz w:val="22"/>
          <w:szCs w:val="22"/>
          <w:lang w:eastAsia="en-GB" w:bidi="ar-SA"/>
        </w:rPr>
      </w:pPr>
      <w:hyperlink w:anchor="_Toc528851098" w:history="1">
        <w:r w:rsidR="00F76FA8" w:rsidRPr="008D60DD">
          <w:rPr>
            <w:rStyle w:val="Hyperlink"/>
            <w:noProof/>
          </w:rPr>
          <w:t>3.3</w:t>
        </w:r>
        <w:r w:rsidR="00F76FA8">
          <w:rPr>
            <w:rFonts w:eastAsiaTheme="minorEastAsia" w:cstheme="minorBidi"/>
            <w:smallCaps w:val="0"/>
            <w:noProof/>
            <w:sz w:val="22"/>
            <w:szCs w:val="22"/>
            <w:lang w:eastAsia="en-GB" w:bidi="ar-SA"/>
          </w:rPr>
          <w:tab/>
        </w:r>
        <w:r w:rsidR="00F76FA8" w:rsidRPr="008D60DD">
          <w:rPr>
            <w:rStyle w:val="Hyperlink"/>
            <w:noProof/>
          </w:rPr>
          <w:t>Safety of lysophospholipase</w:t>
        </w:r>
        <w:r w:rsidR="00F76FA8">
          <w:rPr>
            <w:noProof/>
            <w:webHidden/>
          </w:rPr>
          <w:tab/>
        </w:r>
        <w:r w:rsidR="00F76FA8">
          <w:rPr>
            <w:noProof/>
            <w:webHidden/>
          </w:rPr>
          <w:fldChar w:fldCharType="begin"/>
        </w:r>
        <w:r w:rsidR="00F76FA8">
          <w:rPr>
            <w:noProof/>
            <w:webHidden/>
          </w:rPr>
          <w:instrText xml:space="preserve"> PAGEREF _Toc528851098 \h </w:instrText>
        </w:r>
        <w:r w:rsidR="00F76FA8">
          <w:rPr>
            <w:noProof/>
            <w:webHidden/>
          </w:rPr>
        </w:r>
        <w:r w:rsidR="00F76FA8">
          <w:rPr>
            <w:noProof/>
            <w:webHidden/>
          </w:rPr>
          <w:fldChar w:fldCharType="separate"/>
        </w:r>
        <w:r w:rsidR="00F76FA8">
          <w:rPr>
            <w:noProof/>
            <w:webHidden/>
          </w:rPr>
          <w:t>10</w:t>
        </w:r>
        <w:r w:rsidR="00F76FA8">
          <w:rPr>
            <w:noProof/>
            <w:webHidden/>
          </w:rPr>
          <w:fldChar w:fldCharType="end"/>
        </w:r>
      </w:hyperlink>
    </w:p>
    <w:p w14:paraId="3D1C69F2" w14:textId="2B868E6F"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099" w:history="1">
        <w:r w:rsidR="00F76FA8" w:rsidRPr="008D60DD">
          <w:rPr>
            <w:rStyle w:val="Hyperlink"/>
            <w:noProof/>
          </w:rPr>
          <w:t>3.3.1</w:t>
        </w:r>
        <w:r w:rsidR="00F76FA8">
          <w:rPr>
            <w:rFonts w:eastAsiaTheme="minorEastAsia" w:cstheme="minorBidi"/>
            <w:i w:val="0"/>
            <w:iCs w:val="0"/>
            <w:noProof/>
            <w:sz w:val="22"/>
            <w:szCs w:val="22"/>
            <w:lang w:eastAsia="en-GB" w:bidi="ar-SA"/>
          </w:rPr>
          <w:tab/>
        </w:r>
        <w:r w:rsidR="00F76FA8" w:rsidRPr="008D60DD">
          <w:rPr>
            <w:rStyle w:val="Hyperlink"/>
            <w:noProof/>
          </w:rPr>
          <w:t>History of safe use of the enzyme</w:t>
        </w:r>
        <w:r w:rsidR="00F76FA8">
          <w:rPr>
            <w:noProof/>
            <w:webHidden/>
          </w:rPr>
          <w:tab/>
        </w:r>
        <w:r w:rsidR="00F76FA8">
          <w:rPr>
            <w:noProof/>
            <w:webHidden/>
          </w:rPr>
          <w:fldChar w:fldCharType="begin"/>
        </w:r>
        <w:r w:rsidR="00F76FA8">
          <w:rPr>
            <w:noProof/>
            <w:webHidden/>
          </w:rPr>
          <w:instrText xml:space="preserve"> PAGEREF _Toc528851099 \h </w:instrText>
        </w:r>
        <w:r w:rsidR="00F76FA8">
          <w:rPr>
            <w:noProof/>
            <w:webHidden/>
          </w:rPr>
        </w:r>
        <w:r w:rsidR="00F76FA8">
          <w:rPr>
            <w:noProof/>
            <w:webHidden/>
          </w:rPr>
          <w:fldChar w:fldCharType="separate"/>
        </w:r>
        <w:r w:rsidR="00F76FA8">
          <w:rPr>
            <w:noProof/>
            <w:webHidden/>
          </w:rPr>
          <w:t>10</w:t>
        </w:r>
        <w:r w:rsidR="00F76FA8">
          <w:rPr>
            <w:noProof/>
            <w:webHidden/>
          </w:rPr>
          <w:fldChar w:fldCharType="end"/>
        </w:r>
      </w:hyperlink>
    </w:p>
    <w:p w14:paraId="0619327F" w14:textId="0CBD72AE"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100" w:history="1">
        <w:r w:rsidR="00F76FA8" w:rsidRPr="008D60DD">
          <w:rPr>
            <w:rStyle w:val="Hyperlink"/>
            <w:noProof/>
          </w:rPr>
          <w:t>3.3.2</w:t>
        </w:r>
        <w:r w:rsidR="00F76FA8">
          <w:rPr>
            <w:rFonts w:eastAsiaTheme="minorEastAsia" w:cstheme="minorBidi"/>
            <w:i w:val="0"/>
            <w:iCs w:val="0"/>
            <w:noProof/>
            <w:sz w:val="22"/>
            <w:szCs w:val="22"/>
            <w:lang w:eastAsia="en-GB" w:bidi="ar-SA"/>
          </w:rPr>
          <w:tab/>
        </w:r>
        <w:r w:rsidR="00F76FA8" w:rsidRPr="008D60DD">
          <w:rPr>
            <w:rStyle w:val="Hyperlink"/>
            <w:noProof/>
          </w:rPr>
          <w:t>Toxicology studies in animals</w:t>
        </w:r>
        <w:r w:rsidR="00F76FA8">
          <w:rPr>
            <w:noProof/>
            <w:webHidden/>
          </w:rPr>
          <w:tab/>
        </w:r>
        <w:r w:rsidR="00F76FA8">
          <w:rPr>
            <w:noProof/>
            <w:webHidden/>
          </w:rPr>
          <w:fldChar w:fldCharType="begin"/>
        </w:r>
        <w:r w:rsidR="00F76FA8">
          <w:rPr>
            <w:noProof/>
            <w:webHidden/>
          </w:rPr>
          <w:instrText xml:space="preserve"> PAGEREF _Toc528851100 \h </w:instrText>
        </w:r>
        <w:r w:rsidR="00F76FA8">
          <w:rPr>
            <w:noProof/>
            <w:webHidden/>
          </w:rPr>
        </w:r>
        <w:r w:rsidR="00F76FA8">
          <w:rPr>
            <w:noProof/>
            <w:webHidden/>
          </w:rPr>
          <w:fldChar w:fldCharType="separate"/>
        </w:r>
        <w:r w:rsidR="00F76FA8">
          <w:rPr>
            <w:noProof/>
            <w:webHidden/>
          </w:rPr>
          <w:t>10</w:t>
        </w:r>
        <w:r w:rsidR="00F76FA8">
          <w:rPr>
            <w:noProof/>
            <w:webHidden/>
          </w:rPr>
          <w:fldChar w:fldCharType="end"/>
        </w:r>
      </w:hyperlink>
    </w:p>
    <w:p w14:paraId="0FB2F3DA" w14:textId="061B1FF1"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101" w:history="1">
        <w:r w:rsidR="00F76FA8" w:rsidRPr="008D60DD">
          <w:rPr>
            <w:rStyle w:val="Hyperlink"/>
            <w:noProof/>
          </w:rPr>
          <w:t>3.3.3</w:t>
        </w:r>
        <w:r w:rsidR="00F76FA8">
          <w:rPr>
            <w:rFonts w:eastAsiaTheme="minorEastAsia" w:cstheme="minorBidi"/>
            <w:i w:val="0"/>
            <w:iCs w:val="0"/>
            <w:noProof/>
            <w:sz w:val="22"/>
            <w:szCs w:val="22"/>
            <w:lang w:eastAsia="en-GB" w:bidi="ar-SA"/>
          </w:rPr>
          <w:tab/>
        </w:r>
        <w:r w:rsidR="00F76FA8" w:rsidRPr="008D60DD">
          <w:rPr>
            <w:rStyle w:val="Hyperlink"/>
            <w:noProof/>
          </w:rPr>
          <w:t>Genotoxicity assays</w:t>
        </w:r>
        <w:r w:rsidR="00F76FA8">
          <w:rPr>
            <w:noProof/>
            <w:webHidden/>
          </w:rPr>
          <w:tab/>
        </w:r>
        <w:r w:rsidR="00F76FA8">
          <w:rPr>
            <w:noProof/>
            <w:webHidden/>
          </w:rPr>
          <w:fldChar w:fldCharType="begin"/>
        </w:r>
        <w:r w:rsidR="00F76FA8">
          <w:rPr>
            <w:noProof/>
            <w:webHidden/>
          </w:rPr>
          <w:instrText xml:space="preserve"> PAGEREF _Toc528851101 \h </w:instrText>
        </w:r>
        <w:r w:rsidR="00F76FA8">
          <w:rPr>
            <w:noProof/>
            <w:webHidden/>
          </w:rPr>
        </w:r>
        <w:r w:rsidR="00F76FA8">
          <w:rPr>
            <w:noProof/>
            <w:webHidden/>
          </w:rPr>
          <w:fldChar w:fldCharType="separate"/>
        </w:r>
        <w:r w:rsidR="00F76FA8">
          <w:rPr>
            <w:noProof/>
            <w:webHidden/>
          </w:rPr>
          <w:t>12</w:t>
        </w:r>
        <w:r w:rsidR="00F76FA8">
          <w:rPr>
            <w:noProof/>
            <w:webHidden/>
          </w:rPr>
          <w:fldChar w:fldCharType="end"/>
        </w:r>
      </w:hyperlink>
    </w:p>
    <w:p w14:paraId="5F41B122" w14:textId="212007BF"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102" w:history="1">
        <w:r w:rsidR="00F76FA8" w:rsidRPr="008D60DD">
          <w:rPr>
            <w:rStyle w:val="Hyperlink"/>
            <w:noProof/>
          </w:rPr>
          <w:t>3.3.4</w:t>
        </w:r>
        <w:r w:rsidR="00F76FA8">
          <w:rPr>
            <w:rFonts w:eastAsiaTheme="minorEastAsia" w:cstheme="minorBidi"/>
            <w:i w:val="0"/>
            <w:iCs w:val="0"/>
            <w:noProof/>
            <w:sz w:val="22"/>
            <w:szCs w:val="22"/>
            <w:lang w:eastAsia="en-GB" w:bidi="ar-SA"/>
          </w:rPr>
          <w:tab/>
        </w:r>
        <w:r w:rsidR="00F76FA8" w:rsidRPr="008D60DD">
          <w:rPr>
            <w:rStyle w:val="Hyperlink"/>
            <w:noProof/>
          </w:rPr>
          <w:t>Potential for toxicity</w:t>
        </w:r>
        <w:r w:rsidR="00F76FA8">
          <w:rPr>
            <w:noProof/>
            <w:webHidden/>
          </w:rPr>
          <w:tab/>
        </w:r>
        <w:r w:rsidR="00F76FA8">
          <w:rPr>
            <w:noProof/>
            <w:webHidden/>
          </w:rPr>
          <w:fldChar w:fldCharType="begin"/>
        </w:r>
        <w:r w:rsidR="00F76FA8">
          <w:rPr>
            <w:noProof/>
            <w:webHidden/>
          </w:rPr>
          <w:instrText xml:space="preserve"> PAGEREF _Toc528851102 \h </w:instrText>
        </w:r>
        <w:r w:rsidR="00F76FA8">
          <w:rPr>
            <w:noProof/>
            <w:webHidden/>
          </w:rPr>
        </w:r>
        <w:r w:rsidR="00F76FA8">
          <w:rPr>
            <w:noProof/>
            <w:webHidden/>
          </w:rPr>
          <w:fldChar w:fldCharType="separate"/>
        </w:r>
        <w:r w:rsidR="00F76FA8">
          <w:rPr>
            <w:noProof/>
            <w:webHidden/>
          </w:rPr>
          <w:t>13</w:t>
        </w:r>
        <w:r w:rsidR="00F76FA8">
          <w:rPr>
            <w:noProof/>
            <w:webHidden/>
          </w:rPr>
          <w:fldChar w:fldCharType="end"/>
        </w:r>
      </w:hyperlink>
    </w:p>
    <w:p w14:paraId="7635555E" w14:textId="5434A17B"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103" w:history="1">
        <w:r w:rsidR="00F76FA8" w:rsidRPr="008D60DD">
          <w:rPr>
            <w:rStyle w:val="Hyperlink"/>
            <w:noProof/>
          </w:rPr>
          <w:t>3.3.5</w:t>
        </w:r>
        <w:r w:rsidR="00F76FA8">
          <w:rPr>
            <w:rFonts w:eastAsiaTheme="minorEastAsia" w:cstheme="minorBidi"/>
            <w:i w:val="0"/>
            <w:iCs w:val="0"/>
            <w:noProof/>
            <w:sz w:val="22"/>
            <w:szCs w:val="22"/>
            <w:lang w:eastAsia="en-GB" w:bidi="ar-SA"/>
          </w:rPr>
          <w:tab/>
        </w:r>
        <w:r w:rsidR="00F76FA8" w:rsidRPr="008D60DD">
          <w:rPr>
            <w:rStyle w:val="Hyperlink"/>
            <w:noProof/>
          </w:rPr>
          <w:t>Potential for allergenicity</w:t>
        </w:r>
        <w:r w:rsidR="00F76FA8">
          <w:rPr>
            <w:noProof/>
            <w:webHidden/>
          </w:rPr>
          <w:tab/>
        </w:r>
        <w:r w:rsidR="00F76FA8">
          <w:rPr>
            <w:noProof/>
            <w:webHidden/>
          </w:rPr>
          <w:fldChar w:fldCharType="begin"/>
        </w:r>
        <w:r w:rsidR="00F76FA8">
          <w:rPr>
            <w:noProof/>
            <w:webHidden/>
          </w:rPr>
          <w:instrText xml:space="preserve"> PAGEREF _Toc528851103 \h </w:instrText>
        </w:r>
        <w:r w:rsidR="00F76FA8">
          <w:rPr>
            <w:noProof/>
            <w:webHidden/>
          </w:rPr>
        </w:r>
        <w:r w:rsidR="00F76FA8">
          <w:rPr>
            <w:noProof/>
            <w:webHidden/>
          </w:rPr>
          <w:fldChar w:fldCharType="separate"/>
        </w:r>
        <w:r w:rsidR="00F76FA8">
          <w:rPr>
            <w:noProof/>
            <w:webHidden/>
          </w:rPr>
          <w:t>14</w:t>
        </w:r>
        <w:r w:rsidR="00F76FA8">
          <w:rPr>
            <w:noProof/>
            <w:webHidden/>
          </w:rPr>
          <w:fldChar w:fldCharType="end"/>
        </w:r>
      </w:hyperlink>
    </w:p>
    <w:p w14:paraId="7718E630" w14:textId="55F4D2E4" w:rsidR="00F76FA8" w:rsidRDefault="0022370D">
      <w:pPr>
        <w:pStyle w:val="TOC3"/>
        <w:tabs>
          <w:tab w:val="left" w:pos="1100"/>
          <w:tab w:val="right" w:leader="dot" w:pos="9060"/>
        </w:tabs>
        <w:rPr>
          <w:rFonts w:eastAsiaTheme="minorEastAsia" w:cstheme="minorBidi"/>
          <w:i w:val="0"/>
          <w:iCs w:val="0"/>
          <w:noProof/>
          <w:sz w:val="22"/>
          <w:szCs w:val="22"/>
          <w:lang w:eastAsia="en-GB" w:bidi="ar-SA"/>
        </w:rPr>
      </w:pPr>
      <w:hyperlink w:anchor="_Toc528851104" w:history="1">
        <w:r w:rsidR="00F76FA8" w:rsidRPr="008D60DD">
          <w:rPr>
            <w:rStyle w:val="Hyperlink"/>
            <w:noProof/>
          </w:rPr>
          <w:t>3.3.6</w:t>
        </w:r>
        <w:r w:rsidR="00F76FA8">
          <w:rPr>
            <w:rFonts w:eastAsiaTheme="minorEastAsia" w:cstheme="minorBidi"/>
            <w:i w:val="0"/>
            <w:iCs w:val="0"/>
            <w:noProof/>
            <w:sz w:val="22"/>
            <w:szCs w:val="22"/>
            <w:lang w:eastAsia="en-GB" w:bidi="ar-SA"/>
          </w:rPr>
          <w:tab/>
        </w:r>
        <w:r w:rsidR="00F76FA8" w:rsidRPr="008D60DD">
          <w:rPr>
            <w:rStyle w:val="Hyperlink"/>
            <w:noProof/>
          </w:rPr>
          <w:t>Approvals by other regulatory agencies</w:t>
        </w:r>
        <w:r w:rsidR="00F76FA8">
          <w:rPr>
            <w:noProof/>
            <w:webHidden/>
          </w:rPr>
          <w:tab/>
        </w:r>
        <w:r w:rsidR="00F76FA8">
          <w:rPr>
            <w:noProof/>
            <w:webHidden/>
          </w:rPr>
          <w:fldChar w:fldCharType="begin"/>
        </w:r>
        <w:r w:rsidR="00F76FA8">
          <w:rPr>
            <w:noProof/>
            <w:webHidden/>
          </w:rPr>
          <w:instrText xml:space="preserve"> PAGEREF _Toc528851104 \h </w:instrText>
        </w:r>
        <w:r w:rsidR="00F76FA8">
          <w:rPr>
            <w:noProof/>
            <w:webHidden/>
          </w:rPr>
        </w:r>
        <w:r w:rsidR="00F76FA8">
          <w:rPr>
            <w:noProof/>
            <w:webHidden/>
          </w:rPr>
          <w:fldChar w:fldCharType="separate"/>
        </w:r>
        <w:r w:rsidR="00F76FA8">
          <w:rPr>
            <w:noProof/>
            <w:webHidden/>
          </w:rPr>
          <w:t>14</w:t>
        </w:r>
        <w:r w:rsidR="00F76FA8">
          <w:rPr>
            <w:noProof/>
            <w:webHidden/>
          </w:rPr>
          <w:fldChar w:fldCharType="end"/>
        </w:r>
      </w:hyperlink>
    </w:p>
    <w:p w14:paraId="1143C723" w14:textId="70AA961D" w:rsidR="00F76FA8" w:rsidRDefault="0022370D">
      <w:pPr>
        <w:pStyle w:val="TOC1"/>
        <w:tabs>
          <w:tab w:val="right" w:leader="dot" w:pos="9060"/>
        </w:tabs>
        <w:rPr>
          <w:rFonts w:eastAsiaTheme="minorEastAsia" w:cstheme="minorBidi"/>
          <w:b w:val="0"/>
          <w:bCs w:val="0"/>
          <w:caps w:val="0"/>
          <w:noProof/>
          <w:sz w:val="22"/>
          <w:szCs w:val="22"/>
          <w:lang w:eastAsia="en-GB" w:bidi="ar-SA"/>
        </w:rPr>
      </w:pPr>
      <w:hyperlink w:anchor="_Toc528851105" w:history="1">
        <w:r w:rsidR="00F76FA8" w:rsidRPr="008D60DD">
          <w:rPr>
            <w:rStyle w:val="Hyperlink"/>
            <w:noProof/>
          </w:rPr>
          <w:t>4 Discussion</w:t>
        </w:r>
        <w:r w:rsidR="00F76FA8">
          <w:rPr>
            <w:noProof/>
            <w:webHidden/>
          </w:rPr>
          <w:tab/>
        </w:r>
        <w:r w:rsidR="00F76FA8">
          <w:rPr>
            <w:noProof/>
            <w:webHidden/>
          </w:rPr>
          <w:fldChar w:fldCharType="begin"/>
        </w:r>
        <w:r w:rsidR="00F76FA8">
          <w:rPr>
            <w:noProof/>
            <w:webHidden/>
          </w:rPr>
          <w:instrText xml:space="preserve"> PAGEREF _Toc528851105 \h </w:instrText>
        </w:r>
        <w:r w:rsidR="00F76FA8">
          <w:rPr>
            <w:noProof/>
            <w:webHidden/>
          </w:rPr>
        </w:r>
        <w:r w:rsidR="00F76FA8">
          <w:rPr>
            <w:noProof/>
            <w:webHidden/>
          </w:rPr>
          <w:fldChar w:fldCharType="separate"/>
        </w:r>
        <w:r w:rsidR="00F76FA8">
          <w:rPr>
            <w:noProof/>
            <w:webHidden/>
          </w:rPr>
          <w:t>15</w:t>
        </w:r>
        <w:r w:rsidR="00F76FA8">
          <w:rPr>
            <w:noProof/>
            <w:webHidden/>
          </w:rPr>
          <w:fldChar w:fldCharType="end"/>
        </w:r>
      </w:hyperlink>
    </w:p>
    <w:p w14:paraId="703B3B64" w14:textId="38255DDB" w:rsidR="00F76FA8" w:rsidRDefault="0022370D">
      <w:pPr>
        <w:pStyle w:val="TOC1"/>
        <w:tabs>
          <w:tab w:val="right" w:leader="dot" w:pos="9060"/>
        </w:tabs>
        <w:rPr>
          <w:rFonts w:eastAsiaTheme="minorEastAsia" w:cstheme="minorBidi"/>
          <w:b w:val="0"/>
          <w:bCs w:val="0"/>
          <w:caps w:val="0"/>
          <w:noProof/>
          <w:sz w:val="22"/>
          <w:szCs w:val="22"/>
          <w:lang w:eastAsia="en-GB" w:bidi="ar-SA"/>
        </w:rPr>
      </w:pPr>
      <w:hyperlink w:anchor="_Toc528851106" w:history="1">
        <w:r w:rsidR="00F76FA8" w:rsidRPr="008D60DD">
          <w:rPr>
            <w:rStyle w:val="Hyperlink"/>
            <w:noProof/>
          </w:rPr>
          <w:t>5 Conclusions</w:t>
        </w:r>
        <w:r w:rsidR="00F76FA8">
          <w:rPr>
            <w:noProof/>
            <w:webHidden/>
          </w:rPr>
          <w:tab/>
        </w:r>
        <w:r w:rsidR="00F76FA8">
          <w:rPr>
            <w:noProof/>
            <w:webHidden/>
          </w:rPr>
          <w:fldChar w:fldCharType="begin"/>
        </w:r>
        <w:r w:rsidR="00F76FA8">
          <w:rPr>
            <w:noProof/>
            <w:webHidden/>
          </w:rPr>
          <w:instrText xml:space="preserve"> PAGEREF _Toc528851106 \h </w:instrText>
        </w:r>
        <w:r w:rsidR="00F76FA8">
          <w:rPr>
            <w:noProof/>
            <w:webHidden/>
          </w:rPr>
        </w:r>
        <w:r w:rsidR="00F76FA8">
          <w:rPr>
            <w:noProof/>
            <w:webHidden/>
          </w:rPr>
          <w:fldChar w:fldCharType="separate"/>
        </w:r>
        <w:r w:rsidR="00F76FA8">
          <w:rPr>
            <w:noProof/>
            <w:webHidden/>
          </w:rPr>
          <w:t>15</w:t>
        </w:r>
        <w:r w:rsidR="00F76FA8">
          <w:rPr>
            <w:noProof/>
            <w:webHidden/>
          </w:rPr>
          <w:fldChar w:fldCharType="end"/>
        </w:r>
      </w:hyperlink>
    </w:p>
    <w:p w14:paraId="2B625594" w14:textId="1379AD7E" w:rsidR="00F76FA8" w:rsidRDefault="0022370D">
      <w:pPr>
        <w:pStyle w:val="TOC1"/>
        <w:tabs>
          <w:tab w:val="right" w:leader="dot" w:pos="9060"/>
        </w:tabs>
        <w:rPr>
          <w:rFonts w:eastAsiaTheme="minorEastAsia" w:cstheme="minorBidi"/>
          <w:b w:val="0"/>
          <w:bCs w:val="0"/>
          <w:caps w:val="0"/>
          <w:noProof/>
          <w:sz w:val="22"/>
          <w:szCs w:val="22"/>
          <w:lang w:eastAsia="en-GB" w:bidi="ar-SA"/>
        </w:rPr>
      </w:pPr>
      <w:hyperlink w:anchor="_Toc528851107" w:history="1">
        <w:r w:rsidR="00F76FA8" w:rsidRPr="008D60DD">
          <w:rPr>
            <w:rStyle w:val="Hyperlink"/>
            <w:noProof/>
          </w:rPr>
          <w:t>6 References</w:t>
        </w:r>
        <w:r w:rsidR="00F76FA8">
          <w:rPr>
            <w:noProof/>
            <w:webHidden/>
          </w:rPr>
          <w:tab/>
        </w:r>
        <w:r w:rsidR="00F76FA8">
          <w:rPr>
            <w:noProof/>
            <w:webHidden/>
          </w:rPr>
          <w:fldChar w:fldCharType="begin"/>
        </w:r>
        <w:r w:rsidR="00F76FA8">
          <w:rPr>
            <w:noProof/>
            <w:webHidden/>
          </w:rPr>
          <w:instrText xml:space="preserve"> PAGEREF _Toc528851107 \h </w:instrText>
        </w:r>
        <w:r w:rsidR="00F76FA8">
          <w:rPr>
            <w:noProof/>
            <w:webHidden/>
          </w:rPr>
        </w:r>
        <w:r w:rsidR="00F76FA8">
          <w:rPr>
            <w:noProof/>
            <w:webHidden/>
          </w:rPr>
          <w:fldChar w:fldCharType="separate"/>
        </w:r>
        <w:r w:rsidR="00F76FA8">
          <w:rPr>
            <w:noProof/>
            <w:webHidden/>
          </w:rPr>
          <w:t>15</w:t>
        </w:r>
        <w:r w:rsidR="00F76FA8">
          <w:rPr>
            <w:noProof/>
            <w:webHidden/>
          </w:rPr>
          <w:fldChar w:fldCharType="end"/>
        </w:r>
      </w:hyperlink>
    </w:p>
    <w:p w14:paraId="61A5A49E" w14:textId="7EEA2ECD"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77777777" w:rsidR="00AF0509" w:rsidRDefault="00AF0509" w:rsidP="00AF0509">
      <w:pPr>
        <w:pStyle w:val="Heading1"/>
      </w:pPr>
      <w:bookmarkStart w:id="4" w:name="_Toc501699816"/>
      <w:bookmarkStart w:id="5" w:name="_Toc528851078"/>
      <w:r>
        <w:lastRenderedPageBreak/>
        <w:t>1 Introduction</w:t>
      </w:r>
      <w:bookmarkEnd w:id="4"/>
      <w:bookmarkEnd w:id="5"/>
    </w:p>
    <w:p w14:paraId="0C729F4D" w14:textId="2A5725AE" w:rsidR="001E6A7B" w:rsidRDefault="001E6A7B" w:rsidP="001E6A7B">
      <w:bookmarkStart w:id="6" w:name="_Toc501699817"/>
      <w:bookmarkEnd w:id="6"/>
      <w:r>
        <w:t xml:space="preserve">AB Enzymes GmbH has made an application to FSANZ seeking permission to use the enzyme lysophospholipase (EC 3.1.1.5) from a genetically modified strain of </w:t>
      </w:r>
      <w:r w:rsidRPr="00CA52E1">
        <w:rPr>
          <w:i/>
        </w:rPr>
        <w:t>Trichoderma reesei</w:t>
      </w:r>
      <w:r w:rsidRPr="00CA52E1">
        <w:t xml:space="preserve"> as a processing aid for use in starch processing</w:t>
      </w:r>
      <w:r>
        <w:t>, including the production of syrups</w:t>
      </w:r>
      <w:r w:rsidRPr="00CA52E1">
        <w:t>.</w:t>
      </w:r>
      <w:r>
        <w:t xml:space="preserve"> The starch sources are mainly wheat and maize/corn.</w:t>
      </w:r>
    </w:p>
    <w:p w14:paraId="2455F6EF" w14:textId="21AC4F43" w:rsidR="001E6A7B" w:rsidRDefault="001E6A7B" w:rsidP="001E6A7B"/>
    <w:p w14:paraId="2D416041" w14:textId="4AF8D538" w:rsidR="00AA49F5" w:rsidRDefault="00AA49F5" w:rsidP="00AA49F5">
      <w:r w:rsidRPr="005E6580">
        <w:t>AB Enzymes</w:t>
      </w:r>
      <w:r>
        <w:t xml:space="preserve"> GmbH is</w:t>
      </w:r>
      <w:r w:rsidRPr="005E6580">
        <w:t xml:space="preserve"> an industrial biotech</w:t>
      </w:r>
      <w:r>
        <w:t>nology</w:t>
      </w:r>
      <w:r w:rsidRPr="005E6580">
        <w:t xml:space="preserve"> company that</w:t>
      </w:r>
      <w:r>
        <w:t xml:space="preserve"> develops, manufactures and supplies </w:t>
      </w:r>
      <w:r w:rsidRPr="005E6580">
        <w:t xml:space="preserve">enzyme preparations for industrial applications. </w:t>
      </w:r>
      <w:r>
        <w:t>The enzyme preparation that is the subject of this application has been authorised for use in France (2013) and the United States (US GRAS GRN</w:t>
      </w:r>
      <w:r w:rsidR="00B13FF8">
        <w:t xml:space="preserve"> </w:t>
      </w:r>
      <w:r>
        <w:t xml:space="preserve">653, 2016). A dossier on the enzyme has also been submitted to the </w:t>
      </w:r>
      <w:r w:rsidRPr="004C72BB">
        <w:t>European Food Safety Authority (EFSA) (EFSA-Q-201</w:t>
      </w:r>
      <w:r>
        <w:t>5</w:t>
      </w:r>
      <w:r w:rsidRPr="004C72BB">
        <w:t>-00</w:t>
      </w:r>
      <w:r>
        <w:t>410) and is currently under review.</w:t>
      </w:r>
    </w:p>
    <w:p w14:paraId="6EC4239E" w14:textId="77777777" w:rsidR="00AA49F5" w:rsidRDefault="00AA49F5" w:rsidP="001E6A7B"/>
    <w:p w14:paraId="10EEFDE0" w14:textId="071FC56C" w:rsidR="001E6A7B" w:rsidRPr="00B659CB" w:rsidRDefault="001E6A7B" w:rsidP="001E6A7B">
      <w:r w:rsidRPr="00B659CB">
        <w:t xml:space="preserve">Currently, there </w:t>
      </w:r>
      <w:r>
        <w:t xml:space="preserve">is one </w:t>
      </w:r>
      <w:r w:rsidRPr="00B659CB">
        <w:t xml:space="preserve">permission for </w:t>
      </w:r>
      <w:r>
        <w:t xml:space="preserve">lysophospholipase (sourced from </w:t>
      </w:r>
      <w:r w:rsidRPr="00C12D46">
        <w:rPr>
          <w:i/>
        </w:rPr>
        <w:t>Aspergillus niger</w:t>
      </w:r>
      <w:r>
        <w:t>)</w:t>
      </w:r>
      <w:r>
        <w:rPr>
          <w:i/>
        </w:rPr>
        <w:t xml:space="preserve"> </w:t>
      </w:r>
      <w:r>
        <w:t xml:space="preserve">in the </w:t>
      </w:r>
      <w:r w:rsidRPr="00F8740D">
        <w:t>Australia New Zealand Food Standards Code</w:t>
      </w:r>
      <w:r>
        <w:t xml:space="preserve"> (the Code) (FSANZ 2018). There is no permission for use of this enzyme </w:t>
      </w:r>
      <w:r w:rsidRPr="00B659CB">
        <w:t xml:space="preserve">sourced from </w:t>
      </w:r>
      <w:r>
        <w:rPr>
          <w:i/>
        </w:rPr>
        <w:t xml:space="preserve">T. reesei. </w:t>
      </w:r>
      <w:r>
        <w:t xml:space="preserve">Therefore, </w:t>
      </w:r>
      <w:r w:rsidRPr="00B659CB">
        <w:t xml:space="preserve">any application to amend the Code to permit the use of this enzyme as a food processing aid requires a pre-market assessment. </w:t>
      </w:r>
    </w:p>
    <w:p w14:paraId="34CE1CB6" w14:textId="77777777" w:rsidR="00B4058D" w:rsidRDefault="00B4058D" w:rsidP="00B4058D">
      <w:pPr>
        <w:pStyle w:val="Heading2"/>
      </w:pPr>
      <w:bookmarkStart w:id="7" w:name="_Toc528851079"/>
      <w:r>
        <w:t>1.1</w:t>
      </w:r>
      <w:r>
        <w:tab/>
        <w:t>Objectives of the assessment</w:t>
      </w:r>
      <w:bookmarkEnd w:id="7"/>
    </w:p>
    <w:p w14:paraId="5C224C18" w14:textId="0B3520F8" w:rsidR="001E6A7B" w:rsidRPr="00B659CB" w:rsidRDefault="001E6A7B" w:rsidP="001E6A7B">
      <w:r w:rsidRPr="00B659CB">
        <w:t xml:space="preserve">The objectives of this </w:t>
      </w:r>
      <w:r w:rsidR="00C33CE9">
        <w:t xml:space="preserve">technical and </w:t>
      </w:r>
      <w:r w:rsidRPr="00B659CB">
        <w:t>risk assessment were to:</w:t>
      </w:r>
    </w:p>
    <w:p w14:paraId="2ACE19B9" w14:textId="77777777" w:rsidR="001E6A7B" w:rsidRPr="00B659CB" w:rsidRDefault="001E6A7B" w:rsidP="001E6A7B"/>
    <w:p w14:paraId="3FBDA25A" w14:textId="2E272E70" w:rsidR="001E6A7B" w:rsidRDefault="001E6A7B" w:rsidP="00B13FF8">
      <w:pPr>
        <w:pStyle w:val="FSBullet1"/>
      </w:pPr>
      <w:r w:rsidRPr="00B659CB" w:rsidDel="00AF339B">
        <w:t xml:space="preserve">determine whether the proposed purpose is clearly stated and that the enzyme achieves its technological function in the quantity and form proposed to </w:t>
      </w:r>
      <w:r w:rsidDel="00AF339B">
        <w:t>be used as a food processing aid</w:t>
      </w:r>
    </w:p>
    <w:p w14:paraId="302D5588" w14:textId="77777777" w:rsidR="00C33CE9" w:rsidRPr="00B659CB" w:rsidDel="00AF339B" w:rsidRDefault="00C33CE9" w:rsidP="00C33CE9">
      <w:pPr>
        <w:pStyle w:val="ListParagraph"/>
        <w:ind w:left="709"/>
      </w:pPr>
    </w:p>
    <w:p w14:paraId="15C476DE" w14:textId="62FAA94A" w:rsidR="00AF339B" w:rsidRPr="00F87D40" w:rsidRDefault="001E6A7B" w:rsidP="00B13FF8">
      <w:pPr>
        <w:pStyle w:val="FSBullet1"/>
      </w:pPr>
      <w:r w:rsidRPr="00B659CB">
        <w:t xml:space="preserve">evaluate any potential public health and safety </w:t>
      </w:r>
      <w:r w:rsidR="001D7EE4">
        <w:t>concerns</w:t>
      </w:r>
      <w:r w:rsidR="001D7EE4" w:rsidRPr="00B659CB">
        <w:t xml:space="preserve"> </w:t>
      </w:r>
      <w:r w:rsidRPr="00B659CB">
        <w:t xml:space="preserve">that may arise from the use of </w:t>
      </w:r>
      <w:r w:rsidR="006E134F">
        <w:t>this</w:t>
      </w:r>
      <w:r w:rsidRPr="00B659CB">
        <w:t xml:space="preserve"> </w:t>
      </w:r>
      <w:r w:rsidR="00AF339B">
        <w:t xml:space="preserve">enzyme, </w:t>
      </w:r>
      <w:r w:rsidR="00A07714">
        <w:t>produced by</w:t>
      </w:r>
      <w:r w:rsidRPr="00B659CB">
        <w:t xml:space="preserve"> </w:t>
      </w:r>
      <w:r>
        <w:t xml:space="preserve">a genetically modified </w:t>
      </w:r>
      <w:r w:rsidR="00A07714">
        <w:t xml:space="preserve">organism, </w:t>
      </w:r>
      <w:r w:rsidRPr="00B659CB">
        <w:t>as a processing aid</w:t>
      </w:r>
      <w:r w:rsidR="00AF339B">
        <w:t>. Specifically by considering the:</w:t>
      </w:r>
    </w:p>
    <w:p w14:paraId="2D10E051" w14:textId="77777777" w:rsidR="00AF339B" w:rsidRPr="00F853CC" w:rsidRDefault="00AF339B" w:rsidP="00AF339B">
      <w:pPr>
        <w:ind w:left="709" w:hanging="349"/>
      </w:pPr>
    </w:p>
    <w:p w14:paraId="7B7A49B5" w14:textId="479E6054" w:rsidR="00AF339B" w:rsidRDefault="00AF339B" w:rsidP="00B13FF8">
      <w:pPr>
        <w:pStyle w:val="FSBullet2"/>
      </w:pPr>
      <w:r w:rsidRPr="00F853CC">
        <w:t>history of us</w:t>
      </w:r>
      <w:r>
        <w:t>e of the host and gene donor organisms</w:t>
      </w:r>
    </w:p>
    <w:p w14:paraId="1D6A8D22" w14:textId="77777777" w:rsidR="00AF339B" w:rsidRPr="00460133" w:rsidRDefault="00AF339B" w:rsidP="00B13FF8">
      <w:pPr>
        <w:pStyle w:val="FSBullet2"/>
      </w:pPr>
      <w:r>
        <w:t>characterisation of the genetic modification(s), and</w:t>
      </w:r>
    </w:p>
    <w:p w14:paraId="1BB505E1" w14:textId="1F12C91D" w:rsidR="00AF339B" w:rsidRDefault="00AF339B" w:rsidP="00B13FF8">
      <w:pPr>
        <w:pStyle w:val="FSBullet2"/>
      </w:pPr>
      <w:r>
        <w:t>safety of the enzyme</w:t>
      </w:r>
      <w:r w:rsidR="00C33CE9">
        <w:t>.</w:t>
      </w:r>
    </w:p>
    <w:p w14:paraId="5767146C" w14:textId="77777777" w:rsidR="001E6A7B" w:rsidRDefault="001E6A7B" w:rsidP="001E6A7B">
      <w:pPr>
        <w:pStyle w:val="Heading1"/>
      </w:pPr>
      <w:bookmarkStart w:id="8" w:name="_Toc528851080"/>
      <w:r>
        <w:t>2 Food technology assessment</w:t>
      </w:r>
      <w:bookmarkEnd w:id="8"/>
    </w:p>
    <w:p w14:paraId="28876474" w14:textId="77777777" w:rsidR="001E6A7B" w:rsidRDefault="001E6A7B" w:rsidP="001E6A7B">
      <w:pPr>
        <w:pStyle w:val="Heading2"/>
      </w:pPr>
      <w:bookmarkStart w:id="9" w:name="_Toc472327044"/>
      <w:bookmarkStart w:id="10" w:name="_Toc501699819"/>
      <w:bookmarkStart w:id="11" w:name="_Toc528851081"/>
      <w:r>
        <w:t>2.1</w:t>
      </w:r>
      <w:r>
        <w:tab/>
        <w:t>Characterisation of the enzyme</w:t>
      </w:r>
      <w:bookmarkEnd w:id="9"/>
      <w:bookmarkEnd w:id="10"/>
      <w:bookmarkEnd w:id="11"/>
    </w:p>
    <w:p w14:paraId="6D257B39" w14:textId="77777777" w:rsidR="001E6A7B" w:rsidRDefault="001E6A7B" w:rsidP="001E6A7B">
      <w:pPr>
        <w:pStyle w:val="Heading3"/>
      </w:pPr>
      <w:bookmarkStart w:id="12" w:name="_Toc528851082"/>
      <w:r>
        <w:t>2.1.1</w:t>
      </w:r>
      <w:r>
        <w:tab/>
        <w:t>Identity of the enzyme</w:t>
      </w:r>
      <w:bookmarkEnd w:id="12"/>
    </w:p>
    <w:p w14:paraId="51F525AE" w14:textId="77777777" w:rsidR="001E6A7B" w:rsidRPr="006014F1" w:rsidRDefault="001E6A7B" w:rsidP="001E6A7B">
      <w:r>
        <w:t>The applicant provided relevant i</w:t>
      </w:r>
      <w:r w:rsidRPr="006014F1">
        <w:t>nformation regarding the identity of the enzyme</w:t>
      </w:r>
      <w:r>
        <w:t xml:space="preserve">, and this has been </w:t>
      </w:r>
      <w:r w:rsidRPr="006014F1">
        <w:t xml:space="preserve">verified using an appropriate enzyme nomenclature reference (IUBMB </w:t>
      </w:r>
      <w:r w:rsidRPr="00830498">
        <w:t>2017</w:t>
      </w:r>
      <w:r w:rsidRPr="006014F1">
        <w:t xml:space="preserve">). </w:t>
      </w:r>
    </w:p>
    <w:p w14:paraId="44B3544F" w14:textId="77777777" w:rsidR="001E6A7B" w:rsidRDefault="001E6A7B" w:rsidP="001E6A7B">
      <w:r>
        <w:lastRenderedPageBreak/>
        <w:tab/>
      </w:r>
    </w:p>
    <w:p w14:paraId="2EB63B35" w14:textId="28584E8D" w:rsidR="001E6A7B" w:rsidRDefault="001E6A7B" w:rsidP="001E6A7B">
      <w:r>
        <w:t>Accepted</w:t>
      </w:r>
      <w:r w:rsidRPr="006014F1">
        <w:t xml:space="preserve"> IUBMB</w:t>
      </w:r>
      <w:r w:rsidRPr="006014F1">
        <w:rPr>
          <w:rStyle w:val="FootnoteReference"/>
        </w:rPr>
        <w:footnoteReference w:id="2"/>
      </w:r>
      <w:r>
        <w:t>/common</w:t>
      </w:r>
      <w:r w:rsidRPr="006014F1">
        <w:t xml:space="preserve"> name:</w:t>
      </w:r>
      <w:r>
        <w:tab/>
        <w:t>lysophospholipase</w:t>
      </w:r>
    </w:p>
    <w:p w14:paraId="200A384C" w14:textId="77777777" w:rsidR="001E6A7B" w:rsidRPr="006014F1" w:rsidRDefault="001E6A7B" w:rsidP="001E6A7B"/>
    <w:p w14:paraId="431E7F7F" w14:textId="77777777" w:rsidR="001E6A7B" w:rsidRPr="006014F1" w:rsidRDefault="001E6A7B" w:rsidP="001E6A7B">
      <w:r w:rsidRPr="006014F1">
        <w:t xml:space="preserve">Systematic name: </w:t>
      </w:r>
      <w:r w:rsidRPr="006014F1">
        <w:tab/>
      </w:r>
      <w:r w:rsidRPr="006014F1">
        <w:tab/>
      </w:r>
      <w:r w:rsidRPr="006014F1">
        <w:tab/>
      </w:r>
      <w:r w:rsidRPr="00887678">
        <w:t>2-lysophosphatidylcholine acylhydrolase</w:t>
      </w:r>
    </w:p>
    <w:p w14:paraId="040DF458" w14:textId="77777777" w:rsidR="001E6A7B" w:rsidRPr="006014F1" w:rsidRDefault="001E6A7B" w:rsidP="001E6A7B"/>
    <w:p w14:paraId="26639934" w14:textId="77777777" w:rsidR="001E6A7B" w:rsidRPr="006014F1" w:rsidRDefault="001E6A7B" w:rsidP="001E6A7B">
      <w:r w:rsidRPr="006014F1">
        <w:t>IUBMB enzyme nomenclature:</w:t>
      </w:r>
      <w:r w:rsidRPr="006014F1">
        <w:tab/>
        <w:t>EC 3.</w:t>
      </w:r>
      <w:r>
        <w:t>1</w:t>
      </w:r>
      <w:r w:rsidRPr="006014F1">
        <w:t>.1</w:t>
      </w:r>
      <w:r>
        <w:t>.5</w:t>
      </w:r>
    </w:p>
    <w:p w14:paraId="55F9336F" w14:textId="77777777" w:rsidR="001E6A7B" w:rsidRPr="006014F1" w:rsidRDefault="001E6A7B" w:rsidP="001E6A7B">
      <w:pPr>
        <w:tabs>
          <w:tab w:val="left" w:pos="6100"/>
        </w:tabs>
      </w:pPr>
      <w:r w:rsidRPr="006014F1">
        <w:tab/>
      </w:r>
    </w:p>
    <w:p w14:paraId="54371778" w14:textId="77777777" w:rsidR="001E6A7B" w:rsidRPr="00887678" w:rsidRDefault="001E6A7B" w:rsidP="001E6A7B">
      <w:pPr>
        <w:rPr>
          <w:highlight w:val="yellow"/>
        </w:rPr>
      </w:pPr>
      <w:r w:rsidRPr="006014F1">
        <w:t>CAS</w:t>
      </w:r>
      <w:r>
        <w:rPr>
          <w:rStyle w:val="FootnoteReference"/>
        </w:rPr>
        <w:footnoteReference w:id="3"/>
      </w:r>
      <w:r w:rsidRPr="006014F1">
        <w:t xml:space="preserve"> number:</w:t>
      </w:r>
      <w:r w:rsidRPr="006014F1">
        <w:tab/>
      </w:r>
      <w:r w:rsidRPr="006014F1">
        <w:tab/>
      </w:r>
      <w:r w:rsidRPr="006014F1">
        <w:tab/>
      </w:r>
      <w:r w:rsidRPr="006014F1">
        <w:tab/>
      </w:r>
      <w:r w:rsidRPr="00887678">
        <w:t>9001-85-8</w:t>
      </w:r>
    </w:p>
    <w:p w14:paraId="608C30E1" w14:textId="77777777" w:rsidR="001E6A7B" w:rsidRPr="00887678" w:rsidRDefault="001E6A7B" w:rsidP="001E6A7B">
      <w:pPr>
        <w:rPr>
          <w:highlight w:val="yellow"/>
        </w:rPr>
      </w:pPr>
    </w:p>
    <w:p w14:paraId="7D3C2337" w14:textId="77777777" w:rsidR="001E6A7B" w:rsidRDefault="001E6A7B" w:rsidP="001E6A7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402" w:hanging="3402"/>
      </w:pPr>
      <w:r w:rsidRPr="006014F1">
        <w:t>Other names:</w:t>
      </w:r>
      <w:r w:rsidRPr="006014F1">
        <w:tab/>
      </w:r>
      <w:r w:rsidRPr="006014F1">
        <w:tab/>
      </w:r>
      <w:r w:rsidRPr="006014F1">
        <w:tab/>
      </w:r>
      <w:r w:rsidRPr="006014F1">
        <w:tab/>
      </w:r>
      <w:r w:rsidRPr="00887678">
        <w:t>lecithinase B; lysolecithinase; phospholipase B; lysophosphatidase; lecitholipase; phosphatidase B; lysophosphatidylcholine hydrolase; lysophospholipase A1; lysophopholipase L2; lysophospholipase-transacylase; neuropathy target esterase; NTE; NTE-LysoPLA; NTE-lysophospholipase</w:t>
      </w:r>
    </w:p>
    <w:p w14:paraId="07200260" w14:textId="77777777" w:rsidR="001E6A7B" w:rsidRPr="006014F1" w:rsidRDefault="001E6A7B" w:rsidP="001E6A7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402" w:hanging="3402"/>
      </w:pPr>
    </w:p>
    <w:p w14:paraId="7207C70F" w14:textId="77777777" w:rsidR="001E6A7B" w:rsidRDefault="001E6A7B" w:rsidP="001E6A7B">
      <w:pPr>
        <w:ind w:left="3402" w:hanging="3402"/>
      </w:pPr>
      <w:r w:rsidRPr="00B81575">
        <w:t>Reaction:</w:t>
      </w:r>
      <w:r w:rsidRPr="00B81575">
        <w:tab/>
      </w:r>
      <w:r w:rsidRPr="00224CB3">
        <w:t>2-</w:t>
      </w:r>
      <w:r>
        <w:t>lysophosphatidylcholine + H</w:t>
      </w:r>
      <w:r w:rsidRPr="0037240F">
        <w:rPr>
          <w:vertAlign w:val="subscript"/>
        </w:rPr>
        <w:t>2</w:t>
      </w:r>
      <w:r>
        <w:t xml:space="preserve">O = </w:t>
      </w:r>
      <w:r w:rsidRPr="00224CB3">
        <w:t xml:space="preserve">glycerophosphocholine + a carboxylate </w:t>
      </w:r>
    </w:p>
    <w:p w14:paraId="2F6C6E68" w14:textId="77777777" w:rsidR="001E6A7B" w:rsidRPr="007D343B" w:rsidRDefault="001E6A7B" w:rsidP="001E6A7B">
      <w:pPr>
        <w:pStyle w:val="Heading3"/>
      </w:pPr>
      <w:bookmarkStart w:id="13" w:name="_Toc528851083"/>
      <w:r>
        <w:t>2.1.2</w:t>
      </w:r>
      <w:r>
        <w:tab/>
        <w:t>Technological purpose of the enzyme</w:t>
      </w:r>
      <w:bookmarkEnd w:id="13"/>
    </w:p>
    <w:p w14:paraId="6DD44B3E" w14:textId="40AF9283" w:rsidR="001E6A7B" w:rsidRDefault="00D5741F" w:rsidP="001E6A7B">
      <w:r>
        <w:t>The enzyme</w:t>
      </w:r>
      <w:r w:rsidR="00AA49F5">
        <w:t xml:space="preserve"> is </w:t>
      </w:r>
      <w:r w:rsidR="001E6A7B">
        <w:t xml:space="preserve">to be used as a processing aid </w:t>
      </w:r>
      <w:r w:rsidR="001E6A7B" w:rsidRPr="00CA52E1">
        <w:t>in starch processing</w:t>
      </w:r>
      <w:r w:rsidR="001E6A7B">
        <w:t>, including the production of syrups</w:t>
      </w:r>
      <w:r w:rsidR="001E6A7B" w:rsidRPr="00CA52E1">
        <w:t>.</w:t>
      </w:r>
      <w:r w:rsidR="001E6A7B">
        <w:t xml:space="preserve"> The starch sources are mainly wheat and maize/corn.</w:t>
      </w:r>
    </w:p>
    <w:p w14:paraId="045783F6" w14:textId="77777777" w:rsidR="001E6A7B" w:rsidRDefault="001E6A7B" w:rsidP="001E6A7B"/>
    <w:p w14:paraId="2C6E205A" w14:textId="557A3E0D" w:rsidR="001E6A7B" w:rsidRDefault="001E6A7B" w:rsidP="001E6A7B">
      <w:r>
        <w:t xml:space="preserve">Lysophospholipase catalyses the hydrolysis of an ester bond between a fatty </w:t>
      </w:r>
      <w:r w:rsidRPr="007D343B">
        <w:t>acid and glycerol in lysophospholipid</w:t>
      </w:r>
      <w:r>
        <w:t>s</w:t>
      </w:r>
      <w:r>
        <w:rPr>
          <w:rStyle w:val="FootnoteReference"/>
        </w:rPr>
        <w:footnoteReference w:id="4"/>
      </w:r>
      <w:r w:rsidRPr="007D343B">
        <w:t xml:space="preserve">. This results in the formation of </w:t>
      </w:r>
      <w:r>
        <w:t xml:space="preserve">glycerophosphatide and </w:t>
      </w:r>
      <w:r w:rsidRPr="007D343B">
        <w:t>free fatt</w:t>
      </w:r>
      <w:r>
        <w:t>y acids, as shown in Figure 1 below.</w:t>
      </w:r>
    </w:p>
    <w:p w14:paraId="17DBE813" w14:textId="77777777" w:rsidR="001E6A7B" w:rsidRDefault="001E6A7B" w:rsidP="001E6A7B"/>
    <w:p w14:paraId="6A62F066" w14:textId="5A53B3A2" w:rsidR="001E6A7B" w:rsidRDefault="00261824" w:rsidP="001E6A7B">
      <w:r>
        <w:rPr>
          <w:noProof/>
          <w:lang w:eastAsia="en-GB" w:bidi="ar-SA"/>
        </w:rPr>
        <w:drawing>
          <wp:inline distT="0" distB="0" distL="0" distR="0" wp14:anchorId="2E64F5D7" wp14:editId="428D198D">
            <wp:extent cx="5759450" cy="1295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1295400"/>
                    </a:xfrm>
                    <a:prstGeom prst="rect">
                      <a:avLst/>
                    </a:prstGeom>
                  </pic:spPr>
                </pic:pic>
              </a:graphicData>
            </a:graphic>
          </wp:inline>
        </w:drawing>
      </w:r>
    </w:p>
    <w:p w14:paraId="70AD6E8A" w14:textId="77777777" w:rsidR="001E6A7B" w:rsidRDefault="001E6A7B" w:rsidP="001E6A7B"/>
    <w:p w14:paraId="48769D24" w14:textId="77777777" w:rsidR="001E6A7B" w:rsidRPr="0098298C" w:rsidRDefault="001E6A7B" w:rsidP="001E6A7B">
      <w:pPr>
        <w:rPr>
          <w:sz w:val="18"/>
          <w:szCs w:val="18"/>
          <w:lang w:eastAsia="en-AU"/>
        </w:rPr>
      </w:pPr>
      <w:r w:rsidRPr="00FE66B7">
        <w:rPr>
          <w:sz w:val="18"/>
          <w:szCs w:val="18"/>
          <w:lang w:eastAsia="en-AU"/>
        </w:rPr>
        <w:t xml:space="preserve">Source: </w:t>
      </w:r>
      <w:hyperlink r:id="rId19" w:history="1">
        <w:r w:rsidRPr="00FE66B7">
          <w:rPr>
            <w:rStyle w:val="Hyperlink"/>
            <w:sz w:val="18"/>
            <w:szCs w:val="18"/>
            <w:lang w:eastAsia="en-AU"/>
          </w:rPr>
          <w:t>https://www.ebi.ac.uk/thornton-srv/databases/cgi-bin/enzymes/GetPage.pl?ec_number=3.1.1.5</w:t>
        </w:r>
      </w:hyperlink>
      <w:r w:rsidRPr="00FE66B7">
        <w:rPr>
          <w:sz w:val="18"/>
          <w:szCs w:val="18"/>
          <w:lang w:eastAsia="en-AU"/>
        </w:rPr>
        <w:t xml:space="preserve"> </w:t>
      </w:r>
    </w:p>
    <w:p w14:paraId="09775568" w14:textId="77777777" w:rsidR="001E6A7B" w:rsidRPr="00FE66B7" w:rsidRDefault="001E6A7B" w:rsidP="001E6A7B"/>
    <w:p w14:paraId="42143CC4" w14:textId="77777777" w:rsidR="001E6A7B" w:rsidRPr="00FE66B7" w:rsidRDefault="001E6A7B" w:rsidP="001E6A7B">
      <w:pPr>
        <w:rPr>
          <w:i/>
        </w:rPr>
      </w:pPr>
      <w:r w:rsidRPr="00FE66B7">
        <w:rPr>
          <w:b/>
          <w:i/>
        </w:rPr>
        <w:t>Figure 1</w:t>
      </w:r>
      <w:r w:rsidRPr="00FE66B7">
        <w:rPr>
          <w:i/>
        </w:rPr>
        <w:tab/>
        <w:t>Representation of hydrolysis reaction catalysed by lysophospholipase</w:t>
      </w:r>
    </w:p>
    <w:p w14:paraId="1D6BF7B5" w14:textId="77777777" w:rsidR="001E6A7B" w:rsidRDefault="001E6A7B" w:rsidP="001E6A7B"/>
    <w:p w14:paraId="7C9D00F8" w14:textId="045249B9" w:rsidR="001E6A7B" w:rsidRDefault="009E3446" w:rsidP="001E6A7B">
      <w:r>
        <w:t xml:space="preserve">During starch processing, lysophospholipids </w:t>
      </w:r>
      <w:r w:rsidR="001E6A7B">
        <w:t>present in starch can form micelles</w:t>
      </w:r>
      <w:r w:rsidR="001E6A7B">
        <w:rPr>
          <w:rStyle w:val="FootnoteReference"/>
        </w:rPr>
        <w:footnoteReference w:id="5"/>
      </w:r>
      <w:r w:rsidR="00D85F79">
        <w:t xml:space="preserve">. These can have </w:t>
      </w:r>
      <w:r w:rsidR="001E6A7B">
        <w:t xml:space="preserve">a negative impact on the filtration rate of the starch hydrolysates (syrups), and can also form a complex with other constituents in the syrup (i.e. amylase), resulting in cloudiness. Lysophospholipase </w:t>
      </w:r>
      <w:r w:rsidR="006E134F">
        <w:t xml:space="preserve">has </w:t>
      </w:r>
      <w:r w:rsidR="001E6A7B">
        <w:t xml:space="preserve">a beneficial effect on starch processing by breaking down </w:t>
      </w:r>
      <w:r w:rsidR="006E134F">
        <w:t>these lysophospholipids</w:t>
      </w:r>
      <w:r w:rsidR="00D85F79">
        <w:t xml:space="preserve"> and, as such, preventing their negative effects</w:t>
      </w:r>
      <w:r w:rsidR="001E6A7B">
        <w:t>.</w:t>
      </w:r>
    </w:p>
    <w:p w14:paraId="27489CB9" w14:textId="77777777" w:rsidR="00D85F79" w:rsidRDefault="00D85F79" w:rsidP="001E6A7B"/>
    <w:p w14:paraId="2E3B28B9" w14:textId="7D769E4C" w:rsidR="001E6A7B" w:rsidRDefault="001E6A7B" w:rsidP="001E6A7B">
      <w:r>
        <w:t xml:space="preserve">The </w:t>
      </w:r>
      <w:r w:rsidR="00C22FBC">
        <w:t xml:space="preserve">enzyme </w:t>
      </w:r>
      <w:r>
        <w:t>manufacturing process results in a concentrated lysophospholipase enzyme solution, which is formulated and sold mainly as a liquid enzyme preparation. The composition and physical properties of the lysophospholipase enzyme preparation sold under the commercial name of Rohalase</w:t>
      </w:r>
      <w:r>
        <w:rPr>
          <w:rFonts w:cs="Arial"/>
        </w:rPr>
        <w:t>®</w:t>
      </w:r>
      <w:r>
        <w:t xml:space="preserve"> F, are presented below in Table 1 and Table 2</w:t>
      </w:r>
      <w:r w:rsidR="009E3446">
        <w:t>,</w:t>
      </w:r>
      <w:r>
        <w:t xml:space="preserve"> respectively.</w:t>
      </w:r>
    </w:p>
    <w:p w14:paraId="378D6067" w14:textId="77777777" w:rsidR="001E6A7B" w:rsidRDefault="001E6A7B" w:rsidP="001E6A7B"/>
    <w:p w14:paraId="45B81F11" w14:textId="77777777" w:rsidR="001E6A7B" w:rsidRPr="00C90A79" w:rsidRDefault="001E6A7B" w:rsidP="001E6A7B">
      <w:pPr>
        <w:pStyle w:val="FSTableFigureHeading"/>
        <w:rPr>
          <w:b w:val="0"/>
        </w:rPr>
      </w:pPr>
      <w:r w:rsidRPr="00545135">
        <w:t>T</w:t>
      </w:r>
      <w:r>
        <w:t>able 1</w:t>
      </w:r>
      <w:r>
        <w:tab/>
      </w:r>
      <w:r w:rsidRPr="00C90A79">
        <w:rPr>
          <w:b w:val="0"/>
        </w:rPr>
        <w:t>Lysophospholipase enzyme preparation composition</w:t>
      </w:r>
    </w:p>
    <w:tbl>
      <w:tblPr>
        <w:tblW w:w="0" w:type="auto"/>
        <w:tblInd w:w="-108" w:type="dxa"/>
        <w:tblLayout w:type="fixed"/>
        <w:tblLook w:val="0000" w:firstRow="0" w:lastRow="0" w:firstColumn="0" w:lastColumn="0" w:noHBand="0" w:noVBand="0"/>
      </w:tblPr>
      <w:tblGrid>
        <w:gridCol w:w="4928"/>
        <w:gridCol w:w="2410"/>
      </w:tblGrid>
      <w:tr w:rsidR="001E6A7B" w:rsidRPr="00E624A3" w14:paraId="06B86A91" w14:textId="77777777" w:rsidTr="006E134F">
        <w:trPr>
          <w:trHeight w:val="108"/>
          <w:tblHeader/>
        </w:trPr>
        <w:tc>
          <w:tcPr>
            <w:tcW w:w="7338" w:type="dxa"/>
            <w:gridSpan w:val="2"/>
            <w:shd w:val="clear" w:color="auto" w:fill="616571"/>
            <w:vAlign w:val="center"/>
          </w:tcPr>
          <w:p w14:paraId="438CAC3D" w14:textId="391DC94E" w:rsidR="001E6A7B" w:rsidRPr="00E624A3" w:rsidRDefault="001E6A7B" w:rsidP="001E6A7B">
            <w:pPr>
              <w:spacing w:before="120" w:after="120"/>
              <w:ind w:left="170" w:right="284"/>
              <w:jc w:val="center"/>
              <w:rPr>
                <w:b/>
                <w:color w:val="FFFFFF" w:themeColor="background1"/>
                <w:sz w:val="20"/>
                <w:lang w:eastAsia="en-GB"/>
              </w:rPr>
            </w:pPr>
            <w:r w:rsidRPr="00E624A3">
              <w:rPr>
                <w:b/>
                <w:color w:val="FFFFFF" w:themeColor="background1"/>
                <w:sz w:val="20"/>
                <w:lang w:eastAsia="en-GB"/>
              </w:rPr>
              <w:t>Composition of Rohalase® F</w:t>
            </w:r>
            <w:r w:rsidR="00687902">
              <w:rPr>
                <w:b/>
                <w:color w:val="FFFFFF" w:themeColor="background1"/>
                <w:sz w:val="20"/>
                <w:lang w:eastAsia="en-GB"/>
              </w:rPr>
              <w:t xml:space="preserve"> (w/w)</w:t>
            </w:r>
          </w:p>
        </w:tc>
      </w:tr>
      <w:tr w:rsidR="001E6A7B" w:rsidRPr="00E02515" w14:paraId="7DAF13E7" w14:textId="77777777" w:rsidTr="00C05332">
        <w:trPr>
          <w:trHeight w:val="465"/>
        </w:trPr>
        <w:tc>
          <w:tcPr>
            <w:tcW w:w="4928" w:type="dxa"/>
            <w:shd w:val="clear" w:color="auto" w:fill="ECECEC"/>
            <w:vAlign w:val="center"/>
          </w:tcPr>
          <w:p w14:paraId="6BDCFE50"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Water </w:t>
            </w:r>
          </w:p>
        </w:tc>
        <w:tc>
          <w:tcPr>
            <w:tcW w:w="2410" w:type="dxa"/>
            <w:shd w:val="clear" w:color="auto" w:fill="ECECEC"/>
            <w:vAlign w:val="center"/>
          </w:tcPr>
          <w:p w14:paraId="18152166"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31.35% </w:t>
            </w:r>
          </w:p>
        </w:tc>
      </w:tr>
      <w:tr w:rsidR="001E6A7B" w:rsidRPr="00E02515" w14:paraId="11966260" w14:textId="77777777" w:rsidTr="00C05332">
        <w:trPr>
          <w:trHeight w:val="465"/>
        </w:trPr>
        <w:tc>
          <w:tcPr>
            <w:tcW w:w="4928" w:type="dxa"/>
            <w:vAlign w:val="center"/>
          </w:tcPr>
          <w:p w14:paraId="409B7A8E"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Glycerol </w:t>
            </w:r>
          </w:p>
        </w:tc>
        <w:tc>
          <w:tcPr>
            <w:tcW w:w="2410" w:type="dxa"/>
            <w:vAlign w:val="center"/>
          </w:tcPr>
          <w:p w14:paraId="27B97A52"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50% </w:t>
            </w:r>
          </w:p>
        </w:tc>
      </w:tr>
      <w:tr w:rsidR="001E6A7B" w:rsidRPr="00E02515" w14:paraId="6A19CBA2" w14:textId="77777777" w:rsidTr="00C05332">
        <w:trPr>
          <w:trHeight w:val="465"/>
        </w:trPr>
        <w:tc>
          <w:tcPr>
            <w:tcW w:w="4928" w:type="dxa"/>
            <w:shd w:val="clear" w:color="auto" w:fill="ECECEC"/>
            <w:vAlign w:val="center"/>
          </w:tcPr>
          <w:p w14:paraId="5148B465"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Lysophospholipase </w:t>
            </w:r>
          </w:p>
        </w:tc>
        <w:tc>
          <w:tcPr>
            <w:tcW w:w="2410" w:type="dxa"/>
            <w:shd w:val="clear" w:color="auto" w:fill="ECECEC"/>
            <w:vAlign w:val="center"/>
          </w:tcPr>
          <w:p w14:paraId="6D3D7762"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13.3% </w:t>
            </w:r>
          </w:p>
        </w:tc>
      </w:tr>
      <w:tr w:rsidR="001E6A7B" w:rsidRPr="00E02515" w14:paraId="6A2DD750" w14:textId="77777777" w:rsidTr="00C05332">
        <w:trPr>
          <w:trHeight w:val="465"/>
        </w:trPr>
        <w:tc>
          <w:tcPr>
            <w:tcW w:w="4928" w:type="dxa"/>
            <w:vAlign w:val="center"/>
          </w:tcPr>
          <w:p w14:paraId="7AA5E861"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Sodium chloride </w:t>
            </w:r>
          </w:p>
        </w:tc>
        <w:tc>
          <w:tcPr>
            <w:tcW w:w="2410" w:type="dxa"/>
            <w:vAlign w:val="center"/>
          </w:tcPr>
          <w:p w14:paraId="49D0CBF8"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5% </w:t>
            </w:r>
          </w:p>
        </w:tc>
      </w:tr>
      <w:tr w:rsidR="001E6A7B" w:rsidRPr="00E02515" w14:paraId="096EF980" w14:textId="77777777" w:rsidTr="00C05332">
        <w:trPr>
          <w:trHeight w:val="465"/>
        </w:trPr>
        <w:tc>
          <w:tcPr>
            <w:tcW w:w="4928" w:type="dxa"/>
            <w:shd w:val="clear" w:color="auto" w:fill="ECECEC"/>
            <w:vAlign w:val="center"/>
          </w:tcPr>
          <w:p w14:paraId="7BA9F951"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Sodium benzoate </w:t>
            </w:r>
          </w:p>
        </w:tc>
        <w:tc>
          <w:tcPr>
            <w:tcW w:w="2410" w:type="dxa"/>
            <w:shd w:val="clear" w:color="auto" w:fill="ECECEC"/>
            <w:vAlign w:val="center"/>
          </w:tcPr>
          <w:p w14:paraId="42CE8FC9" w14:textId="77777777" w:rsidR="001E6A7B" w:rsidRPr="00E02515" w:rsidRDefault="001E6A7B" w:rsidP="001E6A7B">
            <w:pPr>
              <w:autoSpaceDE w:val="0"/>
              <w:autoSpaceDN w:val="0"/>
              <w:adjustRightInd w:val="0"/>
              <w:rPr>
                <w:rFonts w:cs="Arial"/>
                <w:color w:val="000000"/>
                <w:sz w:val="20"/>
                <w:szCs w:val="20"/>
              </w:rPr>
            </w:pPr>
            <w:r w:rsidRPr="00E02515">
              <w:rPr>
                <w:rFonts w:cs="Arial"/>
                <w:color w:val="000000"/>
                <w:sz w:val="20"/>
                <w:szCs w:val="20"/>
              </w:rPr>
              <w:t xml:space="preserve">0.35% </w:t>
            </w:r>
          </w:p>
        </w:tc>
      </w:tr>
    </w:tbl>
    <w:p w14:paraId="01665110" w14:textId="77777777" w:rsidR="001E6A7B" w:rsidRDefault="001E6A7B" w:rsidP="001E6A7B"/>
    <w:p w14:paraId="4D4070B5" w14:textId="77777777" w:rsidR="001E6A7B" w:rsidRDefault="001E6A7B" w:rsidP="001E6A7B"/>
    <w:p w14:paraId="3C30BBCD" w14:textId="77777777" w:rsidR="001E6A7B" w:rsidRPr="00C90A79" w:rsidRDefault="001E6A7B" w:rsidP="001E6A7B">
      <w:pPr>
        <w:pStyle w:val="FSTableFigureHeading"/>
        <w:rPr>
          <w:b w:val="0"/>
        </w:rPr>
      </w:pPr>
      <w:r w:rsidRPr="00545135">
        <w:t>T</w:t>
      </w:r>
      <w:r>
        <w:t>able 2</w:t>
      </w:r>
      <w:r>
        <w:tab/>
      </w:r>
      <w:r w:rsidRPr="00C90A79">
        <w:rPr>
          <w:b w:val="0"/>
        </w:rPr>
        <w:t xml:space="preserve">Lysophospholipase enzyme preparation </w:t>
      </w:r>
      <w:r>
        <w:rPr>
          <w:b w:val="0"/>
        </w:rPr>
        <w:t>physical properties</w:t>
      </w:r>
    </w:p>
    <w:tbl>
      <w:tblPr>
        <w:tblW w:w="0" w:type="auto"/>
        <w:tblInd w:w="-108" w:type="dxa"/>
        <w:tblLayout w:type="fixed"/>
        <w:tblLook w:val="0000" w:firstRow="0" w:lastRow="0" w:firstColumn="0" w:lastColumn="0" w:noHBand="0" w:noVBand="0"/>
      </w:tblPr>
      <w:tblGrid>
        <w:gridCol w:w="2943"/>
        <w:gridCol w:w="4395"/>
      </w:tblGrid>
      <w:tr w:rsidR="001E6A7B" w:rsidRPr="00E624A3" w14:paraId="34353CDD" w14:textId="77777777" w:rsidTr="001E6A7B">
        <w:trPr>
          <w:trHeight w:val="108"/>
        </w:trPr>
        <w:tc>
          <w:tcPr>
            <w:tcW w:w="7338" w:type="dxa"/>
            <w:gridSpan w:val="2"/>
            <w:shd w:val="clear" w:color="auto" w:fill="616571"/>
            <w:vAlign w:val="center"/>
          </w:tcPr>
          <w:p w14:paraId="34A189EE" w14:textId="77777777" w:rsidR="001E6A7B" w:rsidRPr="00E624A3" w:rsidRDefault="001E6A7B" w:rsidP="001E6A7B">
            <w:pPr>
              <w:spacing w:before="120" w:after="120"/>
              <w:ind w:left="170" w:right="284"/>
              <w:jc w:val="center"/>
              <w:rPr>
                <w:b/>
                <w:color w:val="FFFFFF" w:themeColor="background1"/>
                <w:sz w:val="20"/>
                <w:lang w:eastAsia="en-GB"/>
              </w:rPr>
            </w:pPr>
            <w:r>
              <w:rPr>
                <w:b/>
                <w:color w:val="FFFFFF" w:themeColor="background1"/>
                <w:sz w:val="20"/>
                <w:lang w:eastAsia="en-GB"/>
              </w:rPr>
              <w:t xml:space="preserve">Physical properties of </w:t>
            </w:r>
            <w:r w:rsidRPr="00E624A3">
              <w:rPr>
                <w:b/>
                <w:color w:val="FFFFFF" w:themeColor="background1"/>
                <w:sz w:val="20"/>
                <w:lang w:eastAsia="en-GB"/>
              </w:rPr>
              <w:t>Rohalase® F</w:t>
            </w:r>
          </w:p>
        </w:tc>
      </w:tr>
      <w:tr w:rsidR="001E6A7B" w:rsidRPr="00E02515" w14:paraId="5F76D085" w14:textId="77777777" w:rsidTr="001E6A7B">
        <w:trPr>
          <w:trHeight w:val="465"/>
        </w:trPr>
        <w:tc>
          <w:tcPr>
            <w:tcW w:w="2943" w:type="dxa"/>
            <w:shd w:val="clear" w:color="auto" w:fill="ECECEC"/>
            <w:vAlign w:val="center"/>
          </w:tcPr>
          <w:p w14:paraId="796CB61C" w14:textId="77777777" w:rsidR="001E6A7B" w:rsidRPr="00E02515" w:rsidRDefault="001E6A7B" w:rsidP="001E6A7B">
            <w:pPr>
              <w:autoSpaceDE w:val="0"/>
              <w:autoSpaceDN w:val="0"/>
              <w:adjustRightInd w:val="0"/>
              <w:rPr>
                <w:rFonts w:cs="Arial"/>
                <w:color w:val="000000"/>
                <w:sz w:val="20"/>
                <w:szCs w:val="20"/>
              </w:rPr>
            </w:pPr>
            <w:r>
              <w:rPr>
                <w:rFonts w:cs="Arial"/>
                <w:color w:val="000000"/>
                <w:sz w:val="20"/>
                <w:szCs w:val="20"/>
              </w:rPr>
              <w:t>pH value</w:t>
            </w:r>
          </w:p>
        </w:tc>
        <w:tc>
          <w:tcPr>
            <w:tcW w:w="4395" w:type="dxa"/>
            <w:shd w:val="clear" w:color="auto" w:fill="ECECEC"/>
            <w:vAlign w:val="center"/>
          </w:tcPr>
          <w:p w14:paraId="5A93497B" w14:textId="77777777" w:rsidR="001E6A7B" w:rsidRPr="00E02515" w:rsidRDefault="001E6A7B" w:rsidP="001E6A7B">
            <w:pPr>
              <w:autoSpaceDE w:val="0"/>
              <w:autoSpaceDN w:val="0"/>
              <w:adjustRightInd w:val="0"/>
              <w:rPr>
                <w:rFonts w:cs="Arial"/>
                <w:color w:val="000000"/>
                <w:sz w:val="20"/>
                <w:szCs w:val="20"/>
              </w:rPr>
            </w:pPr>
            <w:r>
              <w:rPr>
                <w:rFonts w:cs="Arial"/>
                <w:color w:val="000000"/>
                <w:sz w:val="20"/>
                <w:szCs w:val="20"/>
              </w:rPr>
              <w:t>5-5.4</w:t>
            </w:r>
          </w:p>
        </w:tc>
      </w:tr>
      <w:tr w:rsidR="001E6A7B" w:rsidRPr="00E02515" w14:paraId="356E7767" w14:textId="77777777" w:rsidTr="001E6A7B">
        <w:trPr>
          <w:trHeight w:val="465"/>
        </w:trPr>
        <w:tc>
          <w:tcPr>
            <w:tcW w:w="2943" w:type="dxa"/>
            <w:vAlign w:val="center"/>
          </w:tcPr>
          <w:p w14:paraId="6C2A5A2D" w14:textId="77777777" w:rsidR="001E6A7B" w:rsidRPr="00E02515" w:rsidRDefault="001E6A7B" w:rsidP="001E6A7B">
            <w:pPr>
              <w:autoSpaceDE w:val="0"/>
              <w:autoSpaceDN w:val="0"/>
              <w:adjustRightInd w:val="0"/>
              <w:rPr>
                <w:rFonts w:cs="Arial"/>
                <w:color w:val="000000"/>
                <w:sz w:val="20"/>
                <w:szCs w:val="20"/>
              </w:rPr>
            </w:pPr>
            <w:r>
              <w:rPr>
                <w:rFonts w:cs="Arial"/>
                <w:color w:val="000000"/>
                <w:sz w:val="20"/>
                <w:szCs w:val="20"/>
              </w:rPr>
              <w:t>Density</w:t>
            </w:r>
          </w:p>
        </w:tc>
        <w:tc>
          <w:tcPr>
            <w:tcW w:w="4395" w:type="dxa"/>
            <w:vAlign w:val="center"/>
          </w:tcPr>
          <w:p w14:paraId="2FD264B6" w14:textId="77777777" w:rsidR="001E6A7B" w:rsidRPr="00E02515" w:rsidRDefault="001E6A7B" w:rsidP="001E6A7B">
            <w:pPr>
              <w:autoSpaceDE w:val="0"/>
              <w:autoSpaceDN w:val="0"/>
              <w:adjustRightInd w:val="0"/>
              <w:rPr>
                <w:rFonts w:cs="Arial"/>
                <w:color w:val="000000"/>
                <w:sz w:val="20"/>
                <w:szCs w:val="20"/>
              </w:rPr>
            </w:pPr>
            <w:r w:rsidRPr="0029457E">
              <w:rPr>
                <w:rFonts w:cs="Arial"/>
                <w:color w:val="000000"/>
                <w:sz w:val="20"/>
                <w:szCs w:val="20"/>
              </w:rPr>
              <w:t>1.00-1.10 g/ml</w:t>
            </w:r>
          </w:p>
        </w:tc>
      </w:tr>
      <w:tr w:rsidR="001E6A7B" w:rsidRPr="00E02515" w14:paraId="79B10041" w14:textId="77777777" w:rsidTr="001E6A7B">
        <w:trPr>
          <w:trHeight w:val="465"/>
        </w:trPr>
        <w:tc>
          <w:tcPr>
            <w:tcW w:w="2943" w:type="dxa"/>
            <w:shd w:val="clear" w:color="auto" w:fill="ECECEC"/>
            <w:vAlign w:val="center"/>
          </w:tcPr>
          <w:p w14:paraId="69E789B9" w14:textId="77777777" w:rsidR="001E6A7B" w:rsidRPr="00E02515" w:rsidRDefault="001E6A7B" w:rsidP="001E6A7B">
            <w:pPr>
              <w:autoSpaceDE w:val="0"/>
              <w:autoSpaceDN w:val="0"/>
              <w:adjustRightInd w:val="0"/>
              <w:rPr>
                <w:rFonts w:cs="Arial"/>
                <w:color w:val="000000"/>
                <w:sz w:val="20"/>
                <w:szCs w:val="20"/>
              </w:rPr>
            </w:pPr>
            <w:r>
              <w:rPr>
                <w:rFonts w:cs="Arial"/>
                <w:color w:val="000000"/>
                <w:sz w:val="20"/>
                <w:szCs w:val="20"/>
              </w:rPr>
              <w:t>Appearance</w:t>
            </w:r>
          </w:p>
        </w:tc>
        <w:tc>
          <w:tcPr>
            <w:tcW w:w="4395" w:type="dxa"/>
            <w:shd w:val="clear" w:color="auto" w:fill="ECECEC"/>
            <w:vAlign w:val="center"/>
          </w:tcPr>
          <w:p w14:paraId="729B8034" w14:textId="77777777" w:rsidR="001E6A7B" w:rsidRDefault="001E6A7B" w:rsidP="001E6A7B">
            <w:pPr>
              <w:autoSpaceDE w:val="0"/>
              <w:autoSpaceDN w:val="0"/>
              <w:adjustRightInd w:val="0"/>
              <w:rPr>
                <w:rFonts w:cs="Arial"/>
                <w:color w:val="000000"/>
                <w:sz w:val="20"/>
                <w:szCs w:val="20"/>
              </w:rPr>
            </w:pPr>
            <w:r>
              <w:rPr>
                <w:rFonts w:cs="Arial"/>
                <w:color w:val="000000"/>
                <w:sz w:val="20"/>
                <w:szCs w:val="20"/>
              </w:rPr>
              <w:t>Liquid product</w:t>
            </w:r>
          </w:p>
          <w:p w14:paraId="529250B6" w14:textId="77777777" w:rsidR="001E6A7B" w:rsidRDefault="001E6A7B" w:rsidP="001E6A7B">
            <w:pPr>
              <w:autoSpaceDE w:val="0"/>
              <w:autoSpaceDN w:val="0"/>
              <w:adjustRightInd w:val="0"/>
              <w:rPr>
                <w:rFonts w:cs="Arial"/>
                <w:color w:val="000000"/>
                <w:sz w:val="20"/>
                <w:szCs w:val="20"/>
              </w:rPr>
            </w:pPr>
            <w:r w:rsidRPr="0029457E">
              <w:rPr>
                <w:rFonts w:cs="Arial"/>
                <w:color w:val="000000"/>
                <w:sz w:val="20"/>
                <w:szCs w:val="20"/>
              </w:rPr>
              <w:t>Light brown colour with characteristic odour</w:t>
            </w:r>
          </w:p>
          <w:p w14:paraId="522F3FD7" w14:textId="77777777" w:rsidR="001E6A7B" w:rsidRPr="00E02515" w:rsidRDefault="001E6A7B" w:rsidP="001E6A7B">
            <w:pPr>
              <w:autoSpaceDE w:val="0"/>
              <w:autoSpaceDN w:val="0"/>
              <w:adjustRightInd w:val="0"/>
              <w:rPr>
                <w:rFonts w:cs="Arial"/>
                <w:color w:val="000000"/>
                <w:sz w:val="20"/>
                <w:szCs w:val="20"/>
              </w:rPr>
            </w:pPr>
            <w:r>
              <w:rPr>
                <w:rFonts w:cs="Arial"/>
                <w:color w:val="000000"/>
                <w:sz w:val="20"/>
                <w:szCs w:val="20"/>
              </w:rPr>
              <w:t>Water soluble</w:t>
            </w:r>
          </w:p>
        </w:tc>
      </w:tr>
      <w:tr w:rsidR="001E6A7B" w:rsidRPr="00E02515" w14:paraId="4ABF18E0" w14:textId="77777777" w:rsidTr="001E6A7B">
        <w:trPr>
          <w:trHeight w:val="465"/>
        </w:trPr>
        <w:tc>
          <w:tcPr>
            <w:tcW w:w="2943" w:type="dxa"/>
            <w:shd w:val="clear" w:color="auto" w:fill="FFFFFF" w:themeFill="background1"/>
            <w:vAlign w:val="center"/>
          </w:tcPr>
          <w:p w14:paraId="1663C610" w14:textId="7C842B6F" w:rsidR="001E6A7B" w:rsidRPr="00017EA0" w:rsidRDefault="001E6A7B" w:rsidP="001E6A7B">
            <w:pPr>
              <w:autoSpaceDE w:val="0"/>
              <w:autoSpaceDN w:val="0"/>
              <w:adjustRightInd w:val="0"/>
              <w:rPr>
                <w:rFonts w:cs="Arial"/>
                <w:color w:val="000000"/>
                <w:sz w:val="20"/>
                <w:szCs w:val="20"/>
              </w:rPr>
            </w:pPr>
            <w:r w:rsidRPr="00017EA0">
              <w:rPr>
                <w:rFonts w:cs="Arial"/>
                <w:color w:val="000000"/>
                <w:sz w:val="20"/>
                <w:szCs w:val="20"/>
              </w:rPr>
              <w:t xml:space="preserve">Temperature range </w:t>
            </w:r>
            <w:r w:rsidR="00B13FF8" w:rsidRPr="00017EA0">
              <w:rPr>
                <w:rFonts w:cs="Arial"/>
                <w:color w:val="000000"/>
                <w:sz w:val="20"/>
                <w:szCs w:val="20"/>
              </w:rPr>
              <w:t>for function</w:t>
            </w:r>
          </w:p>
        </w:tc>
        <w:tc>
          <w:tcPr>
            <w:tcW w:w="4395" w:type="dxa"/>
            <w:shd w:val="clear" w:color="auto" w:fill="FFFFFF" w:themeFill="background1"/>
            <w:vAlign w:val="center"/>
          </w:tcPr>
          <w:p w14:paraId="0CB1FE73" w14:textId="77777777" w:rsidR="001E6A7B" w:rsidRPr="00017EA0" w:rsidRDefault="001E6A7B" w:rsidP="001E6A7B">
            <w:pPr>
              <w:autoSpaceDE w:val="0"/>
              <w:autoSpaceDN w:val="0"/>
              <w:adjustRightInd w:val="0"/>
              <w:rPr>
                <w:rFonts w:cs="Arial"/>
                <w:color w:val="000000"/>
                <w:sz w:val="20"/>
                <w:szCs w:val="20"/>
              </w:rPr>
            </w:pPr>
            <w:r w:rsidRPr="00017EA0">
              <w:rPr>
                <w:rFonts w:cs="Arial"/>
                <w:color w:val="000000"/>
                <w:sz w:val="20"/>
                <w:szCs w:val="20"/>
              </w:rPr>
              <w:t xml:space="preserve">45-70°C </w:t>
            </w:r>
          </w:p>
          <w:p w14:paraId="237B42D1" w14:textId="77777777" w:rsidR="001E6A7B" w:rsidRPr="00017EA0" w:rsidRDefault="001E6A7B" w:rsidP="001E6A7B">
            <w:pPr>
              <w:autoSpaceDE w:val="0"/>
              <w:autoSpaceDN w:val="0"/>
              <w:adjustRightInd w:val="0"/>
              <w:rPr>
                <w:rFonts w:cs="Arial"/>
                <w:color w:val="000000"/>
                <w:sz w:val="20"/>
                <w:szCs w:val="20"/>
              </w:rPr>
            </w:pPr>
            <w:r w:rsidRPr="00017EA0">
              <w:rPr>
                <w:rFonts w:cs="Arial"/>
                <w:color w:val="000000"/>
                <w:sz w:val="20"/>
                <w:szCs w:val="20"/>
              </w:rPr>
              <w:t>Optimum 60-65°C</w:t>
            </w:r>
          </w:p>
        </w:tc>
      </w:tr>
      <w:tr w:rsidR="001E6A7B" w:rsidRPr="00E02515" w14:paraId="15034C40" w14:textId="77777777" w:rsidTr="001E6A7B">
        <w:trPr>
          <w:trHeight w:val="465"/>
        </w:trPr>
        <w:tc>
          <w:tcPr>
            <w:tcW w:w="2943" w:type="dxa"/>
            <w:shd w:val="clear" w:color="auto" w:fill="ECECEC"/>
            <w:vAlign w:val="center"/>
          </w:tcPr>
          <w:p w14:paraId="202A381F" w14:textId="3A132BCB" w:rsidR="001E6A7B" w:rsidRPr="00017EA0" w:rsidRDefault="001E6A7B" w:rsidP="001E6A7B">
            <w:pPr>
              <w:autoSpaceDE w:val="0"/>
              <w:autoSpaceDN w:val="0"/>
              <w:adjustRightInd w:val="0"/>
              <w:rPr>
                <w:rFonts w:cs="Arial"/>
                <w:color w:val="000000"/>
                <w:sz w:val="20"/>
                <w:szCs w:val="20"/>
              </w:rPr>
            </w:pPr>
            <w:r w:rsidRPr="00017EA0">
              <w:rPr>
                <w:rFonts w:cs="Arial"/>
                <w:color w:val="000000"/>
                <w:sz w:val="20"/>
                <w:szCs w:val="20"/>
              </w:rPr>
              <w:t>pH range</w:t>
            </w:r>
            <w:r w:rsidR="00B13FF8" w:rsidRPr="00017EA0">
              <w:rPr>
                <w:rFonts w:cs="Arial"/>
                <w:color w:val="000000"/>
                <w:sz w:val="20"/>
                <w:szCs w:val="20"/>
              </w:rPr>
              <w:t xml:space="preserve"> for function</w:t>
            </w:r>
          </w:p>
        </w:tc>
        <w:tc>
          <w:tcPr>
            <w:tcW w:w="4395" w:type="dxa"/>
            <w:shd w:val="clear" w:color="auto" w:fill="ECECEC"/>
            <w:vAlign w:val="center"/>
          </w:tcPr>
          <w:p w14:paraId="0EB7C293" w14:textId="16E91200" w:rsidR="001E6A7B" w:rsidRPr="00017EA0" w:rsidRDefault="008D0084" w:rsidP="001E6A7B">
            <w:pPr>
              <w:autoSpaceDE w:val="0"/>
              <w:autoSpaceDN w:val="0"/>
              <w:adjustRightInd w:val="0"/>
              <w:rPr>
                <w:rFonts w:cs="Arial"/>
                <w:color w:val="000000"/>
                <w:sz w:val="20"/>
                <w:szCs w:val="20"/>
              </w:rPr>
            </w:pPr>
            <w:r w:rsidRPr="00017EA0">
              <w:rPr>
                <w:rFonts w:cs="Arial"/>
                <w:color w:val="000000"/>
                <w:sz w:val="20"/>
                <w:szCs w:val="20"/>
              </w:rPr>
              <w:t>4</w:t>
            </w:r>
            <w:r w:rsidR="001E6A7B" w:rsidRPr="00017EA0">
              <w:rPr>
                <w:rFonts w:cs="Arial"/>
                <w:color w:val="000000"/>
                <w:sz w:val="20"/>
                <w:szCs w:val="20"/>
              </w:rPr>
              <w:t xml:space="preserve">-7 </w:t>
            </w:r>
          </w:p>
          <w:p w14:paraId="3AB0358E" w14:textId="77777777" w:rsidR="001E6A7B" w:rsidRPr="00017EA0" w:rsidRDefault="001E6A7B" w:rsidP="001E6A7B">
            <w:pPr>
              <w:autoSpaceDE w:val="0"/>
              <w:autoSpaceDN w:val="0"/>
              <w:adjustRightInd w:val="0"/>
              <w:rPr>
                <w:rFonts w:cs="Arial"/>
                <w:color w:val="000000"/>
                <w:sz w:val="20"/>
                <w:szCs w:val="20"/>
              </w:rPr>
            </w:pPr>
            <w:r w:rsidRPr="00017EA0">
              <w:rPr>
                <w:rFonts w:cs="Arial"/>
                <w:color w:val="000000"/>
                <w:sz w:val="20"/>
                <w:szCs w:val="20"/>
              </w:rPr>
              <w:t>Optimum 4-6</w:t>
            </w:r>
          </w:p>
        </w:tc>
      </w:tr>
      <w:tr w:rsidR="001E6A7B" w:rsidRPr="00E02515" w14:paraId="4FBD93B6" w14:textId="77777777" w:rsidTr="001E6A7B">
        <w:trPr>
          <w:trHeight w:val="465"/>
        </w:trPr>
        <w:tc>
          <w:tcPr>
            <w:tcW w:w="2943" w:type="dxa"/>
            <w:tcBorders>
              <w:bottom w:val="single" w:sz="6" w:space="0" w:color="ECECEC"/>
            </w:tcBorders>
            <w:shd w:val="clear" w:color="auto" w:fill="FFFFFF" w:themeFill="background1"/>
            <w:vAlign w:val="center"/>
          </w:tcPr>
          <w:p w14:paraId="3A90E78D" w14:textId="77777777" w:rsidR="001E6A7B" w:rsidRPr="00017EA0" w:rsidRDefault="001E6A7B" w:rsidP="001E6A7B">
            <w:pPr>
              <w:autoSpaceDE w:val="0"/>
              <w:autoSpaceDN w:val="0"/>
              <w:adjustRightInd w:val="0"/>
              <w:rPr>
                <w:rFonts w:cs="Arial"/>
                <w:color w:val="000000"/>
                <w:sz w:val="20"/>
                <w:szCs w:val="20"/>
              </w:rPr>
            </w:pPr>
            <w:r w:rsidRPr="00017EA0">
              <w:rPr>
                <w:rFonts w:cs="Arial"/>
                <w:color w:val="000000"/>
                <w:sz w:val="20"/>
                <w:szCs w:val="20"/>
              </w:rPr>
              <w:t>Min. enzyme activity</w:t>
            </w:r>
          </w:p>
        </w:tc>
        <w:tc>
          <w:tcPr>
            <w:tcW w:w="4395" w:type="dxa"/>
            <w:tcBorders>
              <w:bottom w:val="single" w:sz="6" w:space="0" w:color="ECECEC"/>
            </w:tcBorders>
            <w:shd w:val="clear" w:color="auto" w:fill="FFFFFF" w:themeFill="background1"/>
            <w:vAlign w:val="center"/>
          </w:tcPr>
          <w:p w14:paraId="640FDDD1" w14:textId="77777777" w:rsidR="001E6A7B" w:rsidRPr="00017EA0" w:rsidRDefault="001E6A7B" w:rsidP="001E6A7B">
            <w:pPr>
              <w:autoSpaceDE w:val="0"/>
              <w:autoSpaceDN w:val="0"/>
              <w:adjustRightInd w:val="0"/>
              <w:rPr>
                <w:rFonts w:cs="Arial"/>
                <w:color w:val="000000"/>
                <w:sz w:val="20"/>
                <w:szCs w:val="20"/>
              </w:rPr>
            </w:pPr>
            <w:r w:rsidRPr="00017EA0">
              <w:rPr>
                <w:rFonts w:cs="Arial"/>
                <w:color w:val="000000"/>
                <w:sz w:val="20"/>
                <w:szCs w:val="20"/>
              </w:rPr>
              <w:t>10,000 lysophospholipase Units/g.</w:t>
            </w:r>
          </w:p>
        </w:tc>
      </w:tr>
    </w:tbl>
    <w:p w14:paraId="36D87F77" w14:textId="77777777" w:rsidR="001E6A7B" w:rsidRDefault="001E6A7B" w:rsidP="001E6A7B"/>
    <w:p w14:paraId="2A9EC39C" w14:textId="2084F59E" w:rsidR="001E6A7B" w:rsidRDefault="001E6A7B" w:rsidP="001E6A7B">
      <w:pPr>
        <w:tabs>
          <w:tab w:val="left" w:pos="1134"/>
        </w:tabs>
      </w:pPr>
      <w:r w:rsidRPr="00017EA0">
        <w:t xml:space="preserve">Whilst the enzyme preparation contains predominantly lysophospholipase activity, there are also </w:t>
      </w:r>
      <w:r w:rsidR="00B87E23" w:rsidRPr="00017EA0">
        <w:t>small amount</w:t>
      </w:r>
      <w:r w:rsidR="008F3749" w:rsidRPr="00017EA0">
        <w:t>s</w:t>
      </w:r>
      <w:r w:rsidR="00B87E23" w:rsidRPr="00017EA0">
        <w:t xml:space="preserve"> of other </w:t>
      </w:r>
      <w:r w:rsidRPr="00017EA0">
        <w:t xml:space="preserve">enzymatic side activities, which are </w:t>
      </w:r>
      <w:r w:rsidR="00B87E23" w:rsidRPr="00017EA0">
        <w:t xml:space="preserve">known to be produced by </w:t>
      </w:r>
      <w:r w:rsidR="00B87E23" w:rsidRPr="00017EA0">
        <w:rPr>
          <w:i/>
        </w:rPr>
        <w:t xml:space="preserve">T. reesei. </w:t>
      </w:r>
      <w:r w:rsidR="00B87E23" w:rsidRPr="00017EA0">
        <w:t xml:space="preserve">These include xylanase, ß-glucanase and </w:t>
      </w:r>
      <w:r w:rsidR="008F3749" w:rsidRPr="00017EA0">
        <w:t>cellula</w:t>
      </w:r>
      <w:r w:rsidR="00B87E23" w:rsidRPr="00017EA0">
        <w:t xml:space="preserve">se. </w:t>
      </w:r>
      <w:r w:rsidR="00B87E23" w:rsidRPr="00135810">
        <w:t xml:space="preserve">Supporting documentation showing the levels of these side activities, and the assays used to measure them was provided with the application. The documentation provided sufficient evidence that the side activities present in the lysophospholipase solution are not relevant </w:t>
      </w:r>
      <w:r w:rsidRPr="00135810">
        <w:t>to this application</w:t>
      </w:r>
      <w:r w:rsidR="00B87E23" w:rsidRPr="00135810">
        <w:t>, mainly due to the</w:t>
      </w:r>
      <w:r w:rsidRPr="00135810">
        <w:t xml:space="preserve"> small quantities involved</w:t>
      </w:r>
      <w:r w:rsidR="00B87E23" w:rsidRPr="00135810">
        <w:t xml:space="preserve">, </w:t>
      </w:r>
      <w:r w:rsidR="00C1733F" w:rsidRPr="00135810">
        <w:t xml:space="preserve">and </w:t>
      </w:r>
      <w:r w:rsidR="00B87E23" w:rsidRPr="00135810">
        <w:t xml:space="preserve">when compared </w:t>
      </w:r>
      <w:r w:rsidR="00C1733F" w:rsidRPr="00135810">
        <w:t xml:space="preserve">to </w:t>
      </w:r>
      <w:r w:rsidR="00B87E23" w:rsidRPr="00135810">
        <w:lastRenderedPageBreak/>
        <w:t>enzyme preparations that have been standardized for those specific</w:t>
      </w:r>
      <w:r w:rsidR="00C1733F" w:rsidRPr="00135810">
        <w:t xml:space="preserve"> activities</w:t>
      </w:r>
      <w:r w:rsidRPr="00135810">
        <w:t>.</w:t>
      </w:r>
      <w:r>
        <w:t xml:space="preserve"> </w:t>
      </w:r>
    </w:p>
    <w:p w14:paraId="27C3072C" w14:textId="77777777" w:rsidR="001E6A7B" w:rsidRDefault="001E6A7B" w:rsidP="001E6A7B">
      <w:pPr>
        <w:tabs>
          <w:tab w:val="left" w:pos="1134"/>
        </w:tabs>
      </w:pPr>
    </w:p>
    <w:p w14:paraId="0731F937" w14:textId="5C766300" w:rsidR="00EE5D7A" w:rsidRDefault="001E6A7B" w:rsidP="001E6A7B">
      <w:pPr>
        <w:tabs>
          <w:tab w:val="left" w:pos="1134"/>
        </w:tabs>
      </w:pPr>
      <w:r>
        <w:t xml:space="preserve">Use of commercial enzyme preparations are typically in accordance </w:t>
      </w:r>
      <w:r w:rsidR="008958EE">
        <w:t>with Good Manufacturing Practice (GMP)</w:t>
      </w:r>
      <w:r>
        <w:t xml:space="preserve">, whereby use is at a level that is not higher than the </w:t>
      </w:r>
      <w:r w:rsidR="009E3446">
        <w:t xml:space="preserve">level </w:t>
      </w:r>
      <w:r>
        <w:t>necessary to achieve</w:t>
      </w:r>
      <w:r w:rsidR="00867E72">
        <w:t xml:space="preserve"> the desired enzymatic reaction</w:t>
      </w:r>
      <w:r>
        <w:t>.</w:t>
      </w:r>
      <w:r w:rsidRPr="00C90A79">
        <w:t xml:space="preserve"> </w:t>
      </w:r>
      <w:r w:rsidRPr="0059240A">
        <w:t>The recomme</w:t>
      </w:r>
      <w:r>
        <w:t>n</w:t>
      </w:r>
      <w:r w:rsidRPr="0059240A">
        <w:t xml:space="preserve">ded </w:t>
      </w:r>
      <w:r w:rsidR="009E3446">
        <w:t>level</w:t>
      </w:r>
      <w:r w:rsidR="009E3446" w:rsidRPr="0059240A">
        <w:t xml:space="preserve"> </w:t>
      </w:r>
      <w:r>
        <w:t>of Rohalase</w:t>
      </w:r>
      <w:r>
        <w:rPr>
          <w:rFonts w:cs="Arial"/>
        </w:rPr>
        <w:t>®</w:t>
      </w:r>
      <w:r>
        <w:t xml:space="preserve"> </w:t>
      </w:r>
      <w:r w:rsidRPr="0059240A">
        <w:t xml:space="preserve">for </w:t>
      </w:r>
      <w:r w:rsidR="00C1733F">
        <w:t xml:space="preserve">initial trials </w:t>
      </w:r>
      <w:r w:rsidR="009E3446">
        <w:t xml:space="preserve">on </w:t>
      </w:r>
      <w:r w:rsidRPr="0059240A">
        <w:t>wheat starch hydrolysates is about 25–50 g/t</w:t>
      </w:r>
      <w:r w:rsidR="00C1733F">
        <w:t>on</w:t>
      </w:r>
      <w:r>
        <w:t xml:space="preserve"> of</w:t>
      </w:r>
      <w:r w:rsidR="00C1733F">
        <w:t xml:space="preserve"> dry solids</w:t>
      </w:r>
      <w:r w:rsidRPr="0059240A">
        <w:t>.</w:t>
      </w:r>
      <w:r>
        <w:t xml:space="preserve"> F</w:t>
      </w:r>
      <w:r w:rsidRPr="00924FEB">
        <w:t xml:space="preserve">ood manufacturers will fine-tune the enzyme </w:t>
      </w:r>
      <w:r w:rsidR="009E3446">
        <w:t>level</w:t>
      </w:r>
      <w:r w:rsidR="009E3446" w:rsidRPr="00924FEB">
        <w:t xml:space="preserve"> </w:t>
      </w:r>
      <w:r w:rsidRPr="00924FEB">
        <w:t xml:space="preserve">based on </w:t>
      </w:r>
      <w:r>
        <w:t>this recommend</w:t>
      </w:r>
      <w:r w:rsidR="009E3446">
        <w:t>ation</w:t>
      </w:r>
      <w:r>
        <w:t xml:space="preserve">, and this will also be </w:t>
      </w:r>
      <w:r w:rsidRPr="00C90A79">
        <w:t>depend</w:t>
      </w:r>
      <w:r>
        <w:t>ent</w:t>
      </w:r>
      <w:r w:rsidRPr="00C90A79">
        <w:t xml:space="preserve"> on the application, the type and quality of the raw materials used, and the process conditions</w:t>
      </w:r>
      <w:r>
        <w:t>.</w:t>
      </w:r>
      <w:r w:rsidRPr="00924FEB">
        <w:t xml:space="preserve"> </w:t>
      </w:r>
    </w:p>
    <w:p w14:paraId="3FB2EED1" w14:textId="5D5F1C3F" w:rsidR="001E6A7B" w:rsidRDefault="001E6A7B" w:rsidP="001E6A7B">
      <w:pPr>
        <w:pStyle w:val="Heading3"/>
      </w:pPr>
      <w:bookmarkStart w:id="14" w:name="_Toc528851084"/>
      <w:r>
        <w:t>2.1.3</w:t>
      </w:r>
      <w:r>
        <w:tab/>
        <w:t xml:space="preserve">Technological justification </w:t>
      </w:r>
      <w:r w:rsidR="00B4058D">
        <w:t>for</w:t>
      </w:r>
      <w:r>
        <w:t xml:space="preserve"> the enzyme</w:t>
      </w:r>
      <w:bookmarkEnd w:id="14"/>
    </w:p>
    <w:p w14:paraId="4E80AF40" w14:textId="18E43CA1" w:rsidR="001E6A7B" w:rsidRDefault="001E6A7B" w:rsidP="001E6A7B">
      <w:r>
        <w:t xml:space="preserve">As mentioned above, lysophospholipids present </w:t>
      </w:r>
      <w:r w:rsidR="009E3446">
        <w:t xml:space="preserve">during </w:t>
      </w:r>
      <w:r>
        <w:t xml:space="preserve">starch processing can have </w:t>
      </w:r>
      <w:r w:rsidR="00D85F79">
        <w:t xml:space="preserve">a </w:t>
      </w:r>
      <w:r>
        <w:t xml:space="preserve">negative impact </w:t>
      </w:r>
      <w:r w:rsidRPr="006C6E86">
        <w:t xml:space="preserve">on the </w:t>
      </w:r>
      <w:r>
        <w:t>starch hydrolysates (syrup)</w:t>
      </w:r>
      <w:r w:rsidR="00D85F79">
        <w:t xml:space="preserve">. </w:t>
      </w:r>
      <w:r>
        <w:t>The technological justification for using lysophospholipase is that it breaks down the</w:t>
      </w:r>
      <w:r w:rsidR="00D85F79">
        <w:t xml:space="preserve">se </w:t>
      </w:r>
      <w:r>
        <w:t xml:space="preserve">lysophospholipids, </w:t>
      </w:r>
      <w:r w:rsidR="006E134F">
        <w:t>resulting</w:t>
      </w:r>
      <w:r>
        <w:t xml:space="preserve"> in the following beneficial effects:</w:t>
      </w:r>
    </w:p>
    <w:p w14:paraId="39D01699" w14:textId="77777777" w:rsidR="001E6A7B" w:rsidRDefault="001E6A7B" w:rsidP="001E6A7B"/>
    <w:p w14:paraId="7EFFB815" w14:textId="77777777" w:rsidR="001E6A7B" w:rsidRDefault="001E6A7B" w:rsidP="008958EE">
      <w:pPr>
        <w:pStyle w:val="FSBullet1"/>
      </w:pPr>
      <w:r>
        <w:t>preventing the formation of lysophospholipid micelles</w:t>
      </w:r>
    </w:p>
    <w:p w14:paraId="1C05AA23" w14:textId="77777777" w:rsidR="001E6A7B" w:rsidRDefault="001E6A7B" w:rsidP="008958EE">
      <w:pPr>
        <w:pStyle w:val="FSBullet1"/>
      </w:pPr>
      <w:r>
        <w:t>facilitating the separation of undesired components</w:t>
      </w:r>
    </w:p>
    <w:p w14:paraId="205CB29F" w14:textId="77777777" w:rsidR="001E6A7B" w:rsidRDefault="001E6A7B" w:rsidP="008958EE">
      <w:pPr>
        <w:pStyle w:val="FSBullet1"/>
      </w:pPr>
      <w:r>
        <w:t>contributing to a better and faster filtration rate</w:t>
      </w:r>
    </w:p>
    <w:p w14:paraId="1F3D3031" w14:textId="77777777" w:rsidR="001E6A7B" w:rsidRDefault="001E6A7B" w:rsidP="008958EE">
      <w:pPr>
        <w:pStyle w:val="FSBullet1"/>
      </w:pPr>
      <w:r>
        <w:t>improving the clarity of the filtrate.</w:t>
      </w:r>
    </w:p>
    <w:p w14:paraId="096E84A5" w14:textId="77777777" w:rsidR="001E6A7B" w:rsidRDefault="001E6A7B" w:rsidP="001E6A7B"/>
    <w:p w14:paraId="6FE3744C" w14:textId="68907615" w:rsidR="001E6A7B" w:rsidRDefault="001E6A7B" w:rsidP="001E6A7B">
      <w:r>
        <w:t>Moreover, the lysophospholipase that is the subject of this application</w:t>
      </w:r>
      <w:r w:rsidRPr="0059240A">
        <w:t xml:space="preserve"> </w:t>
      </w:r>
      <w:r>
        <w:t xml:space="preserve">technologically justified because it </w:t>
      </w:r>
      <w:r w:rsidRPr="0059240A">
        <w:t xml:space="preserve">has been found to have a higher </w:t>
      </w:r>
      <w:r>
        <w:t xml:space="preserve">enzyme </w:t>
      </w:r>
      <w:r w:rsidRPr="0059240A">
        <w:t xml:space="preserve">activity compared to other enzyme products on the market. As a result, </w:t>
      </w:r>
      <w:r>
        <w:t xml:space="preserve">the </w:t>
      </w:r>
      <w:r w:rsidR="009E3446">
        <w:t>level of use</w:t>
      </w:r>
      <w:r w:rsidRPr="0059240A">
        <w:t xml:space="preserve"> </w:t>
      </w:r>
      <w:r>
        <w:t xml:space="preserve">for a particular </w:t>
      </w:r>
      <w:r w:rsidR="009E3446">
        <w:t xml:space="preserve">production situation </w:t>
      </w:r>
      <w:r>
        <w:t xml:space="preserve">is lower, </w:t>
      </w:r>
      <w:r w:rsidRPr="0059240A">
        <w:t>and less excipients</w:t>
      </w:r>
      <w:r>
        <w:rPr>
          <w:rStyle w:val="FootnoteReference"/>
        </w:rPr>
        <w:footnoteReference w:id="6"/>
      </w:r>
      <w:r w:rsidRPr="0059240A">
        <w:t xml:space="preserve"> </w:t>
      </w:r>
      <w:r>
        <w:t xml:space="preserve">are </w:t>
      </w:r>
      <w:r w:rsidRPr="0059240A">
        <w:t xml:space="preserve">added </w:t>
      </w:r>
      <w:r>
        <w:t xml:space="preserve">to the starch </w:t>
      </w:r>
      <w:r w:rsidRPr="0059240A">
        <w:t>when the enzyme preparation is being applied during starch processing.</w:t>
      </w:r>
    </w:p>
    <w:p w14:paraId="03F176F5" w14:textId="77777777" w:rsidR="001E6A7B" w:rsidRDefault="001E6A7B" w:rsidP="001E6A7B"/>
    <w:p w14:paraId="616D457B" w14:textId="3809A7A8" w:rsidR="001E6A7B" w:rsidRDefault="001E6A7B" w:rsidP="001E6A7B">
      <w:r>
        <w:t>When used in wheat starch processing, this lysophospholipase improve</w:t>
      </w:r>
      <w:r w:rsidR="00326F6E">
        <w:t>s</w:t>
      </w:r>
      <w:r>
        <w:t xml:space="preserve"> the </w:t>
      </w:r>
      <w:r w:rsidR="00F76FA8">
        <w:t xml:space="preserve">initial </w:t>
      </w:r>
      <w:r>
        <w:t xml:space="preserve">clarity of the syrup prior to </w:t>
      </w:r>
      <w:r w:rsidR="00F76FA8">
        <w:t xml:space="preserve">further </w:t>
      </w:r>
      <w:r>
        <w:t>clarification</w:t>
      </w:r>
      <w:r w:rsidR="00F76FA8">
        <w:t xml:space="preserve"> steps</w:t>
      </w:r>
      <w:r>
        <w:t>. This results in further increases in the filtration rate, longer filtration runs, less use of diatomaceous earth (when using rotary vacuum filtration) and less membrane fouling and cleaning (when using cross-flow filtration).</w:t>
      </w:r>
    </w:p>
    <w:p w14:paraId="380F6D87" w14:textId="77777777" w:rsidR="001E6A7B" w:rsidRDefault="001E6A7B" w:rsidP="001E6A7B"/>
    <w:p w14:paraId="42E9B8D2" w14:textId="5A7E566F" w:rsidR="001E6A7B" w:rsidRDefault="001E6A7B" w:rsidP="001E6A7B">
      <w:r>
        <w:t>The enzyme is inactivated after saccharification</w:t>
      </w:r>
      <w:r>
        <w:rPr>
          <w:rStyle w:val="FootnoteReference"/>
        </w:rPr>
        <w:footnoteReference w:id="7"/>
      </w:r>
      <w:r>
        <w:t>, when the syrup is heated to 85</w:t>
      </w:r>
      <w:r>
        <w:rPr>
          <w:rFonts w:cs="Arial"/>
        </w:rPr>
        <w:t>°</w:t>
      </w:r>
      <w:r>
        <w:t xml:space="preserve">C and, as such, does not exert any </w:t>
      </w:r>
      <w:r w:rsidR="00C1439B">
        <w:t xml:space="preserve">residual </w:t>
      </w:r>
      <w:r>
        <w:t>enzymatic activity in the final syrups or the foods to which they are added.</w:t>
      </w:r>
    </w:p>
    <w:p w14:paraId="1B6435E5" w14:textId="77777777" w:rsidR="001E6A7B" w:rsidRDefault="001E6A7B" w:rsidP="001E6A7B">
      <w:pPr>
        <w:pStyle w:val="Heading2"/>
      </w:pPr>
      <w:bookmarkStart w:id="15" w:name="_Toc528851085"/>
      <w:r>
        <w:lastRenderedPageBreak/>
        <w:t>2.2</w:t>
      </w:r>
      <w:r>
        <w:tab/>
        <w:t>Manufacturing process</w:t>
      </w:r>
      <w:bookmarkEnd w:id="15"/>
    </w:p>
    <w:p w14:paraId="6E74515A" w14:textId="2E1A78A3" w:rsidR="001E6A7B" w:rsidRDefault="0035149D" w:rsidP="001E6A7B">
      <w:pPr>
        <w:pStyle w:val="Heading3"/>
      </w:pPr>
      <w:bookmarkStart w:id="16" w:name="_Toc528851086"/>
      <w:r>
        <w:t>2.2.1</w:t>
      </w:r>
      <w:r>
        <w:tab/>
        <w:t>P</w:t>
      </w:r>
      <w:r w:rsidR="001E6A7B">
        <w:t>roduction of the enzyme</w:t>
      </w:r>
      <w:bookmarkEnd w:id="16"/>
    </w:p>
    <w:p w14:paraId="7F61EE9D" w14:textId="2EBF2308" w:rsidR="001E6A7B" w:rsidRDefault="001E6A7B" w:rsidP="001E6A7B">
      <w:pPr>
        <w:rPr>
          <w:lang w:eastAsia="en-AU"/>
        </w:rPr>
      </w:pPr>
      <w:r>
        <w:rPr>
          <w:lang w:eastAsia="en-AU"/>
        </w:rPr>
        <w:t xml:space="preserve">The enzyme is produced by controlled submerged fermentation of the </w:t>
      </w:r>
      <w:r w:rsidRPr="00323B37">
        <w:rPr>
          <w:lang w:eastAsia="en-AU"/>
        </w:rPr>
        <w:t xml:space="preserve">genetically modified </w:t>
      </w:r>
      <w:r>
        <w:rPr>
          <w:lang w:eastAsia="en-AU"/>
        </w:rPr>
        <w:t xml:space="preserve">production </w:t>
      </w:r>
      <w:r w:rsidRPr="00323B37">
        <w:rPr>
          <w:lang w:eastAsia="en-AU"/>
        </w:rPr>
        <w:t xml:space="preserve">strain of </w:t>
      </w:r>
      <w:r w:rsidRPr="00323B37">
        <w:rPr>
          <w:i/>
          <w:lang w:eastAsia="en-AU"/>
        </w:rPr>
        <w:t>T. reesei</w:t>
      </w:r>
      <w:r w:rsidR="00867E72">
        <w:rPr>
          <w:lang w:eastAsia="en-AU"/>
        </w:rPr>
        <w:t>.</w:t>
      </w:r>
      <w:r>
        <w:rPr>
          <w:lang w:eastAsia="en-AU"/>
        </w:rPr>
        <w:t xml:space="preserve">  </w:t>
      </w:r>
    </w:p>
    <w:p w14:paraId="6B0C063A" w14:textId="77777777" w:rsidR="001E6A7B" w:rsidRDefault="001E6A7B" w:rsidP="001E6A7B">
      <w:pPr>
        <w:rPr>
          <w:lang w:eastAsia="en-AU"/>
        </w:rPr>
      </w:pPr>
    </w:p>
    <w:p w14:paraId="4757CF63" w14:textId="72086BB3" w:rsidR="001E6A7B" w:rsidRDefault="001E6A7B" w:rsidP="001E6A7B">
      <w:pPr>
        <w:rPr>
          <w:lang w:eastAsia="en-AU"/>
        </w:rPr>
      </w:pPr>
      <w:r>
        <w:rPr>
          <w:lang w:eastAsia="en-AU"/>
        </w:rPr>
        <w:t xml:space="preserve">The production process comprises three main process steps: fermentation, recovery and preparation of the final product. Production begins with a pure culture of </w:t>
      </w:r>
      <w:r w:rsidRPr="00323B37">
        <w:rPr>
          <w:i/>
          <w:lang w:eastAsia="en-AU"/>
        </w:rPr>
        <w:t>T. reesei</w:t>
      </w:r>
      <w:r>
        <w:rPr>
          <w:lang w:eastAsia="en-AU"/>
        </w:rPr>
        <w:t xml:space="preserve">, which is added to a shake flask containing fermentation medium. When sufficient biomass is obtained, the contents of the shake flasks are used to inoculate the seed </w:t>
      </w:r>
      <w:r w:rsidR="00632CE2">
        <w:rPr>
          <w:lang w:eastAsia="en-AU"/>
        </w:rPr>
        <w:t>fermenter</w:t>
      </w:r>
      <w:r>
        <w:rPr>
          <w:lang w:eastAsia="en-AU"/>
        </w:rPr>
        <w:t xml:space="preserve">. At the end of fermentation, the inoculum is then transferred to the main fermenter containing fermentation medium. Biosynthesis of lysophospholipase occurs in the main fermenter under well-defined process conditions governing the pH, temperature, time and mixing. </w:t>
      </w:r>
    </w:p>
    <w:p w14:paraId="0EBBED99" w14:textId="77777777" w:rsidR="001E6A7B" w:rsidRDefault="001E6A7B" w:rsidP="001E6A7B">
      <w:pPr>
        <w:rPr>
          <w:lang w:eastAsia="en-AU"/>
        </w:rPr>
      </w:pPr>
    </w:p>
    <w:p w14:paraId="5A96B7E2" w14:textId="7356C840" w:rsidR="001E6A7B" w:rsidRDefault="001E6A7B" w:rsidP="001E6A7B">
      <w:pPr>
        <w:rPr>
          <w:lang w:eastAsia="en-AU"/>
        </w:rPr>
      </w:pPr>
      <w:r>
        <w:rPr>
          <w:lang w:eastAsia="en-AU"/>
        </w:rPr>
        <w:t xml:space="preserve">Once the fermentation is complete, the recovery process is initiated. The fermentation broth undergoes separation and concentration steps. The separation step involves removing the biomass from the fermentation </w:t>
      </w:r>
      <w:r w:rsidRPr="008C7D4C">
        <w:rPr>
          <w:lang w:eastAsia="en-AU"/>
        </w:rPr>
        <w:t>medium containing the desired enzyme protein</w:t>
      </w:r>
      <w:r>
        <w:rPr>
          <w:lang w:eastAsia="en-AU"/>
        </w:rPr>
        <w:t xml:space="preserve">. </w:t>
      </w:r>
      <w:r w:rsidR="00290C1C">
        <w:rPr>
          <w:lang w:eastAsia="en-AU"/>
        </w:rPr>
        <w:t>T</w:t>
      </w:r>
      <w:r>
        <w:rPr>
          <w:lang w:eastAsia="en-AU"/>
        </w:rPr>
        <w:t>his process is performed at defined pH and temperatures to minimise loss of enzyme activity. The concentration step ensures that the enzyme solution achieves the desired enzyme activity prior to formulation.</w:t>
      </w:r>
    </w:p>
    <w:p w14:paraId="631946DF" w14:textId="77777777" w:rsidR="001E6A7B" w:rsidRDefault="001E6A7B" w:rsidP="001E6A7B">
      <w:pPr>
        <w:rPr>
          <w:lang w:eastAsia="en-AU"/>
        </w:rPr>
      </w:pPr>
    </w:p>
    <w:p w14:paraId="5BC0B6D2" w14:textId="5CC738D3" w:rsidR="001E6A7B" w:rsidRDefault="001E6A7B" w:rsidP="001E6A7B">
      <w:pPr>
        <w:rPr>
          <w:lang w:eastAsia="en-AU"/>
        </w:rPr>
      </w:pPr>
      <w:r>
        <w:rPr>
          <w:lang w:eastAsia="en-AU"/>
        </w:rPr>
        <w:t xml:space="preserve">After concentration, </w:t>
      </w:r>
      <w:r w:rsidR="00FE665B">
        <w:rPr>
          <w:lang w:eastAsia="en-AU"/>
        </w:rPr>
        <w:t xml:space="preserve">residual cells of the production strain, microbial contamination and any other insoluble substances are removed via </w:t>
      </w:r>
      <w:r w:rsidRPr="00323B37">
        <w:rPr>
          <w:lang w:eastAsia="en-AU"/>
        </w:rPr>
        <w:t>polish and germ filtration</w:t>
      </w:r>
      <w:r w:rsidR="00FE665B">
        <w:rPr>
          <w:lang w:eastAsia="en-AU"/>
        </w:rPr>
        <w:t xml:space="preserve">. </w:t>
      </w:r>
      <w:r w:rsidRPr="00323B37">
        <w:rPr>
          <w:lang w:eastAsia="en-AU"/>
        </w:rPr>
        <w:t xml:space="preserve">The resultant concentrated enzyme solution </w:t>
      </w:r>
      <w:r>
        <w:rPr>
          <w:lang w:eastAsia="en-AU"/>
        </w:rPr>
        <w:t>is ready for formulating into a dry or liquid food enzyme preparation (</w:t>
      </w:r>
      <w:r w:rsidR="00290C1C">
        <w:rPr>
          <w:lang w:eastAsia="en-AU"/>
        </w:rPr>
        <w:t>see</w:t>
      </w:r>
      <w:r>
        <w:rPr>
          <w:lang w:eastAsia="en-AU"/>
        </w:rPr>
        <w:t xml:space="preserve"> </w:t>
      </w:r>
      <w:r w:rsidRPr="00B13FF8">
        <w:rPr>
          <w:lang w:eastAsia="en-AU"/>
        </w:rPr>
        <w:t>section 2.1.2)</w:t>
      </w:r>
      <w:r>
        <w:rPr>
          <w:lang w:eastAsia="en-AU"/>
        </w:rPr>
        <w:t xml:space="preserve"> and then packaged and sold commercially</w:t>
      </w:r>
      <w:r>
        <w:t>.</w:t>
      </w:r>
    </w:p>
    <w:p w14:paraId="0B328004" w14:textId="77777777" w:rsidR="001E6A7B" w:rsidRDefault="001E6A7B" w:rsidP="001E6A7B"/>
    <w:p w14:paraId="2B65D83F" w14:textId="67B655A6" w:rsidR="001E6A7B" w:rsidRDefault="001E6A7B" w:rsidP="001E6A7B">
      <w:pPr>
        <w:rPr>
          <w:lang w:eastAsia="en-AU"/>
        </w:rPr>
      </w:pPr>
      <w:r>
        <w:rPr>
          <w:lang w:eastAsia="en-AU"/>
        </w:rPr>
        <w:t>Materials used in the fermentation and recovery process are standard, food grade quality materials that meet quality standards and relevant specifications</w:t>
      </w:r>
      <w:r w:rsidR="00AA7751">
        <w:rPr>
          <w:lang w:eastAsia="en-AU"/>
        </w:rPr>
        <w:t xml:space="preserve">, including those outlined in </w:t>
      </w:r>
      <w:r w:rsidR="00042B1D">
        <w:rPr>
          <w:lang w:eastAsia="en-AU"/>
        </w:rPr>
        <w:t>Food Chemicals Codex (10</w:t>
      </w:r>
      <w:r w:rsidR="00042B1D" w:rsidRPr="00042B1D">
        <w:rPr>
          <w:vertAlign w:val="superscript"/>
          <w:lang w:eastAsia="en-AU"/>
        </w:rPr>
        <w:t>th</w:t>
      </w:r>
      <w:r w:rsidR="00042B1D">
        <w:rPr>
          <w:lang w:eastAsia="en-AU"/>
        </w:rPr>
        <w:t xml:space="preserve"> </w:t>
      </w:r>
      <w:r w:rsidR="00AA7751" w:rsidRPr="00AA7751">
        <w:rPr>
          <w:lang w:eastAsia="en-AU"/>
        </w:rPr>
        <w:t>edition)</w:t>
      </w:r>
      <w:r w:rsidR="003F5429">
        <w:rPr>
          <w:lang w:eastAsia="en-AU"/>
        </w:rPr>
        <w:t xml:space="preserve"> (2016</w:t>
      </w:r>
      <w:r w:rsidR="00AA7751" w:rsidRPr="00AA7751">
        <w:rPr>
          <w:lang w:eastAsia="en-AU"/>
        </w:rPr>
        <w:t>)</w:t>
      </w:r>
      <w:r w:rsidR="00AA7751">
        <w:rPr>
          <w:lang w:eastAsia="en-AU"/>
        </w:rPr>
        <w:t>, that require that substances such as processing aids used to produce enzyme preparations be acceptable for general use in foods.</w:t>
      </w:r>
      <w:r>
        <w:rPr>
          <w:lang w:eastAsia="en-AU"/>
        </w:rPr>
        <w:t xml:space="preserve"> Furthermore, production of the enzyme is in accordance with current GMP and </w:t>
      </w:r>
      <w:r w:rsidRPr="00281C47">
        <w:rPr>
          <w:lang w:eastAsia="en-AU"/>
        </w:rPr>
        <w:t xml:space="preserve">Hazard Analysis </w:t>
      </w:r>
      <w:r>
        <w:rPr>
          <w:lang w:eastAsia="en-AU"/>
        </w:rPr>
        <w:t>and</w:t>
      </w:r>
      <w:r w:rsidRPr="00281C47">
        <w:rPr>
          <w:lang w:eastAsia="en-AU"/>
        </w:rPr>
        <w:t xml:space="preserve"> Critical Control Points</w:t>
      </w:r>
      <w:r>
        <w:rPr>
          <w:lang w:eastAsia="en-AU"/>
        </w:rPr>
        <w:t xml:space="preserve"> (HACCP) principles, and in compliance with </w:t>
      </w:r>
      <w:r w:rsidR="00445284">
        <w:rPr>
          <w:lang w:eastAsia="en-AU"/>
        </w:rPr>
        <w:t xml:space="preserve">the </w:t>
      </w:r>
      <w:r w:rsidR="00445284" w:rsidRPr="00445284">
        <w:rPr>
          <w:lang w:eastAsia="en-AU"/>
        </w:rPr>
        <w:t xml:space="preserve">food hygiene regulations that apply in the country of manufacture (e.g. </w:t>
      </w:r>
      <w:hyperlink r:id="rId20" w:history="1">
        <w:r w:rsidR="00445284" w:rsidRPr="00445284">
          <w:rPr>
            <w:rStyle w:val="Hyperlink"/>
            <w:lang w:eastAsia="en-AU"/>
          </w:rPr>
          <w:t>Regulation (EC) No. 852/2004</w:t>
        </w:r>
      </w:hyperlink>
      <w:r w:rsidR="00445284" w:rsidRPr="00445284">
        <w:rPr>
          <w:lang w:eastAsia="en-AU"/>
        </w:rPr>
        <w:t xml:space="preserve"> on the hygiene of foodstuffs</w:t>
      </w:r>
      <w:r w:rsidR="00445284">
        <w:rPr>
          <w:rStyle w:val="FootnoteReference"/>
          <w:lang w:eastAsia="en-AU"/>
        </w:rPr>
        <w:footnoteReference w:id="8"/>
      </w:r>
      <w:r w:rsidR="00445284" w:rsidRPr="00445284">
        <w:rPr>
          <w:lang w:eastAsia="en-AU"/>
        </w:rPr>
        <w:t>).</w:t>
      </w:r>
      <w:r>
        <w:rPr>
          <w:lang w:eastAsia="en-AU"/>
        </w:rPr>
        <w:t xml:space="preserve"> The applicant has </w:t>
      </w:r>
      <w:r w:rsidR="00F31749">
        <w:rPr>
          <w:lang w:eastAsia="en-AU"/>
        </w:rPr>
        <w:t xml:space="preserve">provided </w:t>
      </w:r>
      <w:r>
        <w:rPr>
          <w:lang w:eastAsia="en-AU"/>
        </w:rPr>
        <w:t>quality certificates demonstrating their adherence to these practices and principles.</w:t>
      </w:r>
    </w:p>
    <w:p w14:paraId="7D25A49A" w14:textId="77777777" w:rsidR="001E6A7B" w:rsidRDefault="001E6A7B" w:rsidP="001E6A7B">
      <w:pPr>
        <w:tabs>
          <w:tab w:val="left" w:pos="5505"/>
        </w:tabs>
      </w:pPr>
      <w:r>
        <w:tab/>
      </w:r>
    </w:p>
    <w:p w14:paraId="28289F3C" w14:textId="77777777" w:rsidR="001E6A7B" w:rsidRDefault="001E6A7B" w:rsidP="001E6A7B">
      <w:pPr>
        <w:rPr>
          <w:lang w:eastAsia="en-AU"/>
        </w:rPr>
      </w:pPr>
      <w:r>
        <w:rPr>
          <w:lang w:eastAsia="en-AU"/>
        </w:rPr>
        <w:t>The main steps of the manufacturing process are shown in Figure 2 below taken from the application.</w:t>
      </w:r>
    </w:p>
    <w:p w14:paraId="518367B8" w14:textId="165CFD7E" w:rsidR="001E6A7B" w:rsidRDefault="001E6A7B" w:rsidP="001E6A7B">
      <w:pPr>
        <w:rPr>
          <w:lang w:eastAsia="en-AU"/>
        </w:rPr>
      </w:pPr>
      <w:r>
        <w:rPr>
          <w:noProof/>
          <w:lang w:eastAsia="en-GB" w:bidi="ar-SA"/>
        </w:rPr>
        <w:lastRenderedPageBreak/>
        <w:drawing>
          <wp:inline distT="0" distB="0" distL="0" distR="0" wp14:anchorId="561F1911" wp14:editId="2F38D693">
            <wp:extent cx="3209925" cy="589746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18435" cy="5913100"/>
                    </a:xfrm>
                    <a:prstGeom prst="rect">
                      <a:avLst/>
                    </a:prstGeom>
                  </pic:spPr>
                </pic:pic>
              </a:graphicData>
            </a:graphic>
          </wp:inline>
        </w:drawing>
      </w:r>
    </w:p>
    <w:p w14:paraId="392EEC37" w14:textId="77777777" w:rsidR="001E6A7B" w:rsidRDefault="001E6A7B" w:rsidP="001E6A7B">
      <w:pPr>
        <w:rPr>
          <w:lang w:eastAsia="en-AU"/>
        </w:rPr>
      </w:pPr>
    </w:p>
    <w:p w14:paraId="5828C2CF" w14:textId="77777777" w:rsidR="001E6A7B" w:rsidRPr="00FE66B7" w:rsidRDefault="001E6A7B" w:rsidP="001E6A7B">
      <w:pPr>
        <w:rPr>
          <w:i/>
        </w:rPr>
      </w:pPr>
      <w:r w:rsidRPr="00FE66B7">
        <w:rPr>
          <w:b/>
          <w:i/>
        </w:rPr>
        <w:t xml:space="preserve">Figure </w:t>
      </w:r>
      <w:r>
        <w:rPr>
          <w:b/>
          <w:i/>
        </w:rPr>
        <w:t>2</w:t>
      </w:r>
      <w:r>
        <w:rPr>
          <w:i/>
        </w:rPr>
        <w:tab/>
        <w:t xml:space="preserve">Production process of </w:t>
      </w:r>
      <w:r w:rsidRPr="00FE66B7">
        <w:rPr>
          <w:i/>
        </w:rPr>
        <w:t>lysophospholipase</w:t>
      </w:r>
      <w:r>
        <w:rPr>
          <w:i/>
        </w:rPr>
        <w:t xml:space="preserve"> food enzyme from fermentation</w:t>
      </w:r>
    </w:p>
    <w:p w14:paraId="2EC66E52" w14:textId="77777777" w:rsidR="001E6A7B" w:rsidRDefault="001E6A7B" w:rsidP="001E6A7B"/>
    <w:p w14:paraId="0D830194" w14:textId="0834672F" w:rsidR="001E6A7B" w:rsidRDefault="001E6A7B" w:rsidP="001E6A7B">
      <w:pPr>
        <w:pStyle w:val="Heading3"/>
      </w:pPr>
      <w:bookmarkStart w:id="17" w:name="_Toc528851087"/>
      <w:r>
        <w:t>2.2.2</w:t>
      </w:r>
      <w:r w:rsidR="0035149D">
        <w:tab/>
      </w:r>
      <w:r>
        <w:t>Specifications</w:t>
      </w:r>
      <w:bookmarkEnd w:id="17"/>
    </w:p>
    <w:p w14:paraId="75E050AC" w14:textId="77777777" w:rsidR="001E6A7B" w:rsidRPr="006014F1" w:rsidRDefault="001E6A7B" w:rsidP="001E6A7B">
      <w:r w:rsidRPr="006014F1">
        <w:t>There are international specifications for enzyme</w:t>
      </w:r>
      <w:r>
        <w:t>s</w:t>
      </w:r>
      <w:r w:rsidRPr="006014F1">
        <w:t xml:space="preserve"> used in the production of food. These have been </w:t>
      </w:r>
      <w:r>
        <w:t xml:space="preserve">detailed in </w:t>
      </w:r>
      <w:r w:rsidRPr="006014F1">
        <w:t>the Joint FAO/WHO Expert Committee on Food Additives</w:t>
      </w:r>
      <w:r>
        <w:t xml:space="preserve"> (JECFA) Compendium of Food Additive Specifications </w:t>
      </w:r>
      <w:r w:rsidRPr="006014F1">
        <w:t>(</w:t>
      </w:r>
      <w:r>
        <w:t xml:space="preserve">FAO/WHO </w:t>
      </w:r>
      <w:r w:rsidRPr="00312F00">
        <w:t>2016</w:t>
      </w:r>
      <w:r w:rsidRPr="006014F1">
        <w:t xml:space="preserve">) and the </w:t>
      </w:r>
      <w:r w:rsidRPr="00AE0D24">
        <w:t>United States Pharmacopeial Convention (2016) Food Chemicals Codex (10</w:t>
      </w:r>
      <w:r w:rsidRPr="00AE0D24">
        <w:rPr>
          <w:vertAlign w:val="superscript"/>
        </w:rPr>
        <w:t>th</w:t>
      </w:r>
      <w:r w:rsidRPr="00AE0D24">
        <w:t xml:space="preserve"> edition).</w:t>
      </w:r>
      <w:r w:rsidRPr="006014F1">
        <w:t xml:space="preserve"> These primary sources of specifications are listed in Schedule S3—2 of the Code. Enzyme</w:t>
      </w:r>
      <w:r>
        <w:t>s</w:t>
      </w:r>
      <w:r w:rsidRPr="006014F1">
        <w:t xml:space="preserve"> need to meet these enzyme specifications. Schedule 3 also includes specifications for heavy metals</w:t>
      </w:r>
      <w:r>
        <w:t xml:space="preserve"> (section S3—4) if they are not specified within specifications in sections S3—2 or S3—3.</w:t>
      </w:r>
    </w:p>
    <w:p w14:paraId="3983C262" w14:textId="77777777" w:rsidR="001E6A7B" w:rsidRPr="006014F1" w:rsidRDefault="001E6A7B" w:rsidP="001E6A7B"/>
    <w:p w14:paraId="0EC4F2A9" w14:textId="77777777" w:rsidR="001E6A7B" w:rsidRPr="006014F1" w:rsidRDefault="001E6A7B" w:rsidP="001E6A7B">
      <w:r w:rsidRPr="00312F00">
        <w:t xml:space="preserve">Table </w:t>
      </w:r>
      <w:r>
        <w:t>3</w:t>
      </w:r>
      <w:r w:rsidRPr="006014F1">
        <w:t xml:space="preserve"> provides a comparison of </w:t>
      </w:r>
      <w:r>
        <w:t>batch analysis of</w:t>
      </w:r>
      <w:r w:rsidRPr="00EC06FE">
        <w:t xml:space="preserve"> </w:t>
      </w:r>
      <w:r>
        <w:t xml:space="preserve">three liquid semi-final concentrates of lysophospholipase from the genetically modified </w:t>
      </w:r>
      <w:r>
        <w:rPr>
          <w:i/>
        </w:rPr>
        <w:t xml:space="preserve">T. reesei </w:t>
      </w:r>
      <w:r w:rsidRPr="006014F1">
        <w:t>with the international specifications established by JECFA</w:t>
      </w:r>
      <w:r>
        <w:t xml:space="preserve"> and Food Chemicals Codex,</w:t>
      </w:r>
      <w:r w:rsidRPr="006014F1">
        <w:t xml:space="preserve"> as well as those detailed in the Code (as applicable). </w:t>
      </w:r>
    </w:p>
    <w:p w14:paraId="349DF4B1" w14:textId="77777777" w:rsidR="001E6A7B" w:rsidRDefault="001E6A7B" w:rsidP="001E6A7B">
      <w:pPr>
        <w:rPr>
          <w:lang w:eastAsia="en-AU"/>
        </w:rPr>
      </w:pPr>
    </w:p>
    <w:p w14:paraId="2AC10617" w14:textId="5575143A" w:rsidR="001E6A7B" w:rsidRPr="00234B7E" w:rsidRDefault="001E6A7B" w:rsidP="001E6A7B">
      <w:pPr>
        <w:pStyle w:val="FSTableTitle"/>
        <w:keepNext/>
        <w:keepLines/>
        <w:spacing w:after="240"/>
        <w:ind w:left="1134" w:hanging="1134"/>
        <w:rPr>
          <w:b w:val="0"/>
          <w:i/>
          <w:sz w:val="24"/>
        </w:rPr>
      </w:pPr>
      <w:r>
        <w:rPr>
          <w:i/>
        </w:rPr>
        <w:t>Table 3</w:t>
      </w:r>
      <w:r>
        <w:rPr>
          <w:i/>
          <w:szCs w:val="20"/>
        </w:rPr>
        <w:tab/>
      </w:r>
      <w:r>
        <w:rPr>
          <w:b w:val="0"/>
          <w:i/>
        </w:rPr>
        <w:t>Analysis of</w:t>
      </w:r>
      <w:r w:rsidR="00290C1C">
        <w:rPr>
          <w:b w:val="0"/>
          <w:i/>
        </w:rPr>
        <w:t xml:space="preserve"> AB Enzymes</w:t>
      </w:r>
      <w:r>
        <w:rPr>
          <w:b w:val="0"/>
          <w:i/>
        </w:rPr>
        <w:t xml:space="preserve"> lysophospholipase</w:t>
      </w:r>
      <w:r w:rsidRPr="00234B7E">
        <w:rPr>
          <w:b w:val="0"/>
          <w:i/>
        </w:rPr>
        <w:t xml:space="preserve"> compared to JECFA, Food Chemicals Codex, and Code specifications for enzymes</w:t>
      </w:r>
    </w:p>
    <w:tbl>
      <w:tblPr>
        <w:tblStyle w:val="TableClassic4"/>
        <w:tblW w:w="0" w:type="auto"/>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Pr>
      <w:tblGrid>
        <w:gridCol w:w="2367"/>
        <w:gridCol w:w="1632"/>
        <w:gridCol w:w="1671"/>
        <w:gridCol w:w="1594"/>
        <w:gridCol w:w="1667"/>
      </w:tblGrid>
      <w:tr w:rsidR="001E6A7B" w:rsidRPr="006014F1" w14:paraId="7FF205E6" w14:textId="77777777" w:rsidTr="00290C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7" w:type="dxa"/>
            <w:vMerge w:val="restart"/>
            <w:tcBorders>
              <w:bottom w:val="none" w:sz="0" w:space="0" w:color="auto"/>
            </w:tcBorders>
            <w:shd w:val="clear" w:color="99CCFF" w:fill="616571"/>
            <w:vAlign w:val="center"/>
          </w:tcPr>
          <w:p w14:paraId="4A136763" w14:textId="77777777" w:rsidR="001E6A7B" w:rsidRPr="009E46DF" w:rsidRDefault="001E6A7B" w:rsidP="00290C1C">
            <w:pPr>
              <w:keepNext/>
              <w:keepLines/>
              <w:spacing w:before="60" w:after="60"/>
              <w:jc w:val="center"/>
              <w:rPr>
                <w:rFonts w:cs="Arial"/>
                <w:b w:val="0"/>
                <w:bCs w:val="0"/>
                <w:i w:val="0"/>
                <w:iCs w:val="0"/>
                <w:color w:val="FFFFFF" w:themeColor="background1"/>
                <w:sz w:val="20"/>
                <w:szCs w:val="20"/>
              </w:rPr>
            </w:pPr>
          </w:p>
          <w:p w14:paraId="6572224B" w14:textId="77777777" w:rsidR="001E6A7B" w:rsidRPr="009E46DF" w:rsidRDefault="001E6A7B" w:rsidP="00290C1C">
            <w:pPr>
              <w:keepNext/>
              <w:keepLines/>
              <w:spacing w:before="60" w:after="60"/>
              <w:jc w:val="center"/>
              <w:rPr>
                <w:rFonts w:cs="Arial"/>
                <w:i w:val="0"/>
                <w:color w:val="FFFFFF" w:themeColor="background1"/>
                <w:sz w:val="20"/>
                <w:szCs w:val="20"/>
              </w:rPr>
            </w:pPr>
            <w:r w:rsidRPr="009E46DF">
              <w:rPr>
                <w:rFonts w:cs="Arial"/>
                <w:i w:val="0"/>
                <w:color w:val="FFFFFF" w:themeColor="background1"/>
                <w:sz w:val="20"/>
                <w:szCs w:val="20"/>
              </w:rPr>
              <w:t>Analysis</w:t>
            </w:r>
          </w:p>
        </w:tc>
        <w:tc>
          <w:tcPr>
            <w:tcW w:w="1632" w:type="dxa"/>
            <w:vMerge w:val="restart"/>
            <w:tcBorders>
              <w:bottom w:val="none" w:sz="0" w:space="0" w:color="auto"/>
            </w:tcBorders>
            <w:shd w:val="clear" w:color="99CCFF" w:fill="616571"/>
            <w:vAlign w:val="center"/>
          </w:tcPr>
          <w:p w14:paraId="669A9593" w14:textId="3F550F1F" w:rsidR="001E6A7B" w:rsidRPr="009E46DF" w:rsidRDefault="00290C1C"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i w:val="0"/>
                <w:iCs w:val="0"/>
                <w:color w:val="FFFFFF" w:themeColor="background1"/>
                <w:sz w:val="20"/>
                <w:szCs w:val="20"/>
              </w:rPr>
            </w:pPr>
            <w:r>
              <w:rPr>
                <w:rFonts w:cs="Arial"/>
                <w:i w:val="0"/>
                <w:color w:val="FFFFFF" w:themeColor="background1"/>
                <w:sz w:val="20"/>
                <w:szCs w:val="20"/>
              </w:rPr>
              <w:t xml:space="preserve">AB </w:t>
            </w:r>
            <w:r w:rsidR="001E6A7B" w:rsidRPr="009E46DF">
              <w:rPr>
                <w:rFonts w:cs="Arial"/>
                <w:i w:val="0"/>
                <w:color w:val="FFFFFF" w:themeColor="background1"/>
                <w:sz w:val="20"/>
                <w:szCs w:val="20"/>
              </w:rPr>
              <w:t>Enzyme</w:t>
            </w:r>
            <w:r>
              <w:rPr>
                <w:rFonts w:cs="Arial"/>
                <w:i w:val="0"/>
                <w:color w:val="FFFFFF" w:themeColor="background1"/>
                <w:sz w:val="20"/>
                <w:szCs w:val="20"/>
              </w:rPr>
              <w:t>s</w:t>
            </w:r>
            <w:r w:rsidR="001E6A7B" w:rsidRPr="009E46DF">
              <w:rPr>
                <w:rFonts w:cs="Arial"/>
                <w:i w:val="0"/>
                <w:color w:val="FFFFFF" w:themeColor="background1"/>
                <w:sz w:val="20"/>
                <w:szCs w:val="20"/>
              </w:rPr>
              <w:t xml:space="preserve"> batch analysis (3 different batches)</w:t>
            </w:r>
          </w:p>
        </w:tc>
        <w:tc>
          <w:tcPr>
            <w:tcW w:w="4932" w:type="dxa"/>
            <w:gridSpan w:val="3"/>
            <w:tcBorders>
              <w:bottom w:val="none" w:sz="0" w:space="0" w:color="auto"/>
            </w:tcBorders>
            <w:shd w:val="clear" w:color="99CCFF" w:fill="616571"/>
          </w:tcPr>
          <w:p w14:paraId="53690BAE" w14:textId="77777777" w:rsidR="001E6A7B" w:rsidRPr="009E46DF"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sidRPr="009E46DF">
              <w:rPr>
                <w:rFonts w:cs="Arial"/>
                <w:i w:val="0"/>
                <w:color w:val="FFFFFF" w:themeColor="background1"/>
                <w:sz w:val="20"/>
                <w:szCs w:val="20"/>
              </w:rPr>
              <w:t>Specifications</w:t>
            </w:r>
          </w:p>
        </w:tc>
      </w:tr>
      <w:tr w:rsidR="001E6A7B" w:rsidRPr="006014F1" w14:paraId="012B091A" w14:textId="77777777" w:rsidTr="00042B1D">
        <w:tc>
          <w:tcPr>
            <w:cnfStyle w:val="001000000000" w:firstRow="0" w:lastRow="0" w:firstColumn="1" w:lastColumn="0" w:oddVBand="0" w:evenVBand="0" w:oddHBand="0" w:evenHBand="0" w:firstRowFirstColumn="0" w:firstRowLastColumn="0" w:lastRowFirstColumn="0" w:lastRowLastColumn="0"/>
            <w:tcW w:w="2367" w:type="dxa"/>
            <w:vMerge/>
            <w:shd w:val="clear" w:color="99CCFF" w:fill="616571"/>
          </w:tcPr>
          <w:p w14:paraId="02D933C8" w14:textId="77777777" w:rsidR="001E6A7B" w:rsidRPr="009E46DF" w:rsidRDefault="001E6A7B" w:rsidP="001E6A7B">
            <w:pPr>
              <w:keepNext/>
              <w:keepLines/>
              <w:spacing w:before="60" w:after="60"/>
              <w:rPr>
                <w:rFonts w:cs="Arial"/>
                <w:color w:val="FFFFFF" w:themeColor="background1"/>
                <w:sz w:val="20"/>
                <w:szCs w:val="20"/>
              </w:rPr>
            </w:pPr>
          </w:p>
        </w:tc>
        <w:tc>
          <w:tcPr>
            <w:tcW w:w="1632" w:type="dxa"/>
            <w:vMerge/>
            <w:shd w:val="clear" w:color="99CCFF" w:fill="616571"/>
          </w:tcPr>
          <w:p w14:paraId="61A4306F" w14:textId="77777777" w:rsidR="001E6A7B" w:rsidRPr="009E46DF" w:rsidRDefault="001E6A7B" w:rsidP="001E6A7B">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p>
        </w:tc>
        <w:tc>
          <w:tcPr>
            <w:tcW w:w="1671" w:type="dxa"/>
            <w:shd w:val="clear" w:color="99CCFF" w:fill="616571"/>
            <w:vAlign w:val="center"/>
          </w:tcPr>
          <w:p w14:paraId="72E2F5AE" w14:textId="6D14F482" w:rsidR="001E6A7B" w:rsidRPr="009E46DF" w:rsidRDefault="001E6A7B" w:rsidP="00290C1C">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9E46DF">
              <w:rPr>
                <w:rFonts w:cs="Arial"/>
                <w:b/>
                <w:color w:val="FFFFFF" w:themeColor="background1"/>
                <w:sz w:val="20"/>
                <w:szCs w:val="20"/>
              </w:rPr>
              <w:t>JECFA</w:t>
            </w:r>
          </w:p>
        </w:tc>
        <w:tc>
          <w:tcPr>
            <w:tcW w:w="1594" w:type="dxa"/>
            <w:shd w:val="clear" w:color="99CCFF" w:fill="616571"/>
            <w:vAlign w:val="center"/>
          </w:tcPr>
          <w:p w14:paraId="07F7FF83" w14:textId="77777777" w:rsidR="001E6A7B" w:rsidRPr="009E46DF" w:rsidRDefault="001E6A7B" w:rsidP="00290C1C">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9E46DF">
              <w:rPr>
                <w:rFonts w:cs="Arial"/>
                <w:b/>
                <w:color w:val="FFFFFF" w:themeColor="background1"/>
                <w:sz w:val="20"/>
                <w:szCs w:val="20"/>
              </w:rPr>
              <w:t>Food Chemicals Codex</w:t>
            </w:r>
          </w:p>
        </w:tc>
        <w:tc>
          <w:tcPr>
            <w:tcW w:w="1667" w:type="dxa"/>
            <w:shd w:val="clear" w:color="99CCFF" w:fill="616571"/>
            <w:vAlign w:val="center"/>
          </w:tcPr>
          <w:p w14:paraId="5011FC43" w14:textId="0EF43BD7" w:rsidR="001E6A7B" w:rsidRPr="009E46DF" w:rsidRDefault="001E6A7B" w:rsidP="00290C1C">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9E46DF">
              <w:rPr>
                <w:rFonts w:cs="Arial"/>
                <w:b/>
                <w:color w:val="FFFFFF" w:themeColor="background1"/>
                <w:sz w:val="20"/>
                <w:szCs w:val="20"/>
              </w:rPr>
              <w:t>Australia New Zealand Food Standards Code</w:t>
            </w:r>
          </w:p>
          <w:p w14:paraId="5D076E9B" w14:textId="77777777" w:rsidR="001E6A7B" w:rsidRPr="009E46DF" w:rsidRDefault="001E6A7B" w:rsidP="00290C1C">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i/>
                <w:color w:val="FFFFFF" w:themeColor="background1"/>
                <w:sz w:val="20"/>
                <w:szCs w:val="20"/>
              </w:rPr>
            </w:pPr>
            <w:r w:rsidRPr="009E46DF">
              <w:rPr>
                <w:rFonts w:cs="Arial"/>
                <w:b/>
                <w:color w:val="FFFFFF" w:themeColor="background1"/>
                <w:sz w:val="20"/>
                <w:szCs w:val="20"/>
              </w:rPr>
              <w:t>(section S3—4)</w:t>
            </w:r>
          </w:p>
        </w:tc>
      </w:tr>
      <w:tr w:rsidR="001E6A7B" w:rsidRPr="006014F1" w14:paraId="0AFE918C" w14:textId="77777777" w:rsidTr="00042B1D">
        <w:tc>
          <w:tcPr>
            <w:cnfStyle w:val="001000000000" w:firstRow="0" w:lastRow="0" w:firstColumn="1" w:lastColumn="0" w:oddVBand="0" w:evenVBand="0" w:oddHBand="0" w:evenHBand="0" w:firstRowFirstColumn="0" w:firstRowLastColumn="0" w:lastRowFirstColumn="0" w:lastRowLastColumn="0"/>
            <w:tcW w:w="2367" w:type="dxa"/>
            <w:shd w:val="clear" w:color="auto" w:fill="ECECEC"/>
          </w:tcPr>
          <w:p w14:paraId="6B08E749" w14:textId="77777777" w:rsidR="001E6A7B" w:rsidRPr="009E46DF" w:rsidRDefault="001E6A7B" w:rsidP="001E6A7B">
            <w:pPr>
              <w:spacing w:before="60" w:after="60"/>
              <w:rPr>
                <w:b w:val="0"/>
                <w:sz w:val="20"/>
                <w:szCs w:val="20"/>
              </w:rPr>
            </w:pPr>
            <w:r w:rsidRPr="009E46DF">
              <w:rPr>
                <w:b w:val="0"/>
                <w:sz w:val="20"/>
                <w:szCs w:val="20"/>
              </w:rPr>
              <w:t>Lead (mg/kg)</w:t>
            </w:r>
          </w:p>
        </w:tc>
        <w:tc>
          <w:tcPr>
            <w:tcW w:w="1632" w:type="dxa"/>
            <w:shd w:val="clear" w:color="auto" w:fill="ECECEC"/>
          </w:tcPr>
          <w:p w14:paraId="4F9DC83E"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&lt;0.05</w:t>
            </w:r>
          </w:p>
          <w:p w14:paraId="7317C71D"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&lt;0.05</w:t>
            </w:r>
          </w:p>
          <w:p w14:paraId="723EA682"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&lt;0.05</w:t>
            </w:r>
          </w:p>
        </w:tc>
        <w:tc>
          <w:tcPr>
            <w:tcW w:w="1671" w:type="dxa"/>
            <w:shd w:val="clear" w:color="auto" w:fill="ECECEC"/>
          </w:tcPr>
          <w:p w14:paraId="6886B68B"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 5</w:t>
            </w:r>
          </w:p>
        </w:tc>
        <w:tc>
          <w:tcPr>
            <w:tcW w:w="1594" w:type="dxa"/>
            <w:shd w:val="clear" w:color="auto" w:fill="ECECEC"/>
          </w:tcPr>
          <w:p w14:paraId="1315F34D"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 5</w:t>
            </w:r>
          </w:p>
        </w:tc>
        <w:tc>
          <w:tcPr>
            <w:tcW w:w="1667" w:type="dxa"/>
            <w:shd w:val="clear" w:color="auto" w:fill="ECECEC"/>
          </w:tcPr>
          <w:p w14:paraId="4C238DAA"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≤2</w:t>
            </w:r>
          </w:p>
        </w:tc>
      </w:tr>
      <w:tr w:rsidR="001E6A7B" w:rsidRPr="006014F1" w14:paraId="4EE6874E" w14:textId="77777777" w:rsidTr="00042B1D">
        <w:tc>
          <w:tcPr>
            <w:cnfStyle w:val="001000000000" w:firstRow="0" w:lastRow="0" w:firstColumn="1" w:lastColumn="0" w:oddVBand="0" w:evenVBand="0" w:oddHBand="0" w:evenHBand="0" w:firstRowFirstColumn="0" w:firstRowLastColumn="0" w:lastRowFirstColumn="0" w:lastRowLastColumn="0"/>
            <w:tcW w:w="2367" w:type="dxa"/>
          </w:tcPr>
          <w:p w14:paraId="632252B7" w14:textId="77777777" w:rsidR="001E6A7B" w:rsidRPr="009E46DF" w:rsidRDefault="001E6A7B" w:rsidP="001E6A7B">
            <w:pPr>
              <w:spacing w:before="60" w:after="60"/>
              <w:rPr>
                <w:b w:val="0"/>
                <w:sz w:val="20"/>
                <w:szCs w:val="20"/>
              </w:rPr>
            </w:pPr>
            <w:r w:rsidRPr="009E46DF">
              <w:rPr>
                <w:b w:val="0"/>
                <w:sz w:val="20"/>
                <w:szCs w:val="20"/>
              </w:rPr>
              <w:t>Arsenic (mg/kg)</w:t>
            </w:r>
          </w:p>
        </w:tc>
        <w:tc>
          <w:tcPr>
            <w:tcW w:w="1632" w:type="dxa"/>
          </w:tcPr>
          <w:p w14:paraId="36CC32CA"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&lt;0.5</w:t>
            </w:r>
          </w:p>
          <w:p w14:paraId="52C52FF8"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&lt;0.5</w:t>
            </w:r>
          </w:p>
          <w:p w14:paraId="71CE2CF5"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671" w:type="dxa"/>
          </w:tcPr>
          <w:p w14:paraId="0D9FBA7A"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594" w:type="dxa"/>
          </w:tcPr>
          <w:p w14:paraId="43C19D62"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667" w:type="dxa"/>
          </w:tcPr>
          <w:p w14:paraId="75BF81E1"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≤1</w:t>
            </w:r>
          </w:p>
        </w:tc>
      </w:tr>
      <w:tr w:rsidR="001E6A7B" w:rsidRPr="006014F1" w14:paraId="0F1E6A33" w14:textId="77777777" w:rsidTr="00042B1D">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7CE18AD5" w14:textId="77777777" w:rsidR="001E6A7B" w:rsidRPr="009E46DF" w:rsidRDefault="001E6A7B" w:rsidP="001E6A7B">
            <w:pPr>
              <w:spacing w:before="60" w:after="60"/>
              <w:rPr>
                <w:b w:val="0"/>
                <w:sz w:val="20"/>
                <w:szCs w:val="20"/>
              </w:rPr>
            </w:pPr>
            <w:r w:rsidRPr="009E46DF">
              <w:rPr>
                <w:b w:val="0"/>
                <w:sz w:val="20"/>
                <w:szCs w:val="20"/>
              </w:rPr>
              <w:t>Total heavy metals (As, Pb, Cd and Hg) (mg/kg)</w:t>
            </w:r>
          </w:p>
        </w:tc>
        <w:tc>
          <w:tcPr>
            <w:tcW w:w="1632" w:type="dxa"/>
            <w:tcBorders>
              <w:bottom w:val="nil"/>
            </w:tcBorders>
            <w:shd w:val="clear" w:color="auto" w:fill="ECECEC"/>
          </w:tcPr>
          <w:p w14:paraId="739802DD"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&lt;0.7</w:t>
            </w:r>
          </w:p>
          <w:p w14:paraId="29B2D14C"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&lt;0.7</w:t>
            </w:r>
          </w:p>
          <w:p w14:paraId="4C141192"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671" w:type="dxa"/>
            <w:tcBorders>
              <w:bottom w:val="nil"/>
            </w:tcBorders>
            <w:shd w:val="clear" w:color="auto" w:fill="ECECEC"/>
          </w:tcPr>
          <w:p w14:paraId="38F2FA63"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594" w:type="dxa"/>
            <w:tcBorders>
              <w:bottom w:val="nil"/>
            </w:tcBorders>
            <w:shd w:val="clear" w:color="auto" w:fill="ECECEC"/>
          </w:tcPr>
          <w:p w14:paraId="5C7C7477"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667" w:type="dxa"/>
            <w:tcBorders>
              <w:bottom w:val="nil"/>
            </w:tcBorders>
            <w:shd w:val="clear" w:color="auto" w:fill="ECECEC"/>
          </w:tcPr>
          <w:p w14:paraId="2D8CE487"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≤1 (Cd)</w:t>
            </w:r>
          </w:p>
          <w:p w14:paraId="1127ED15"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≤1 (Hg)</w:t>
            </w:r>
          </w:p>
          <w:p w14:paraId="43BEF088"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E6A7B" w:rsidRPr="006014F1" w14:paraId="2F7BCDE1" w14:textId="77777777" w:rsidTr="00042B1D">
        <w:tc>
          <w:tcPr>
            <w:cnfStyle w:val="001000000000" w:firstRow="0" w:lastRow="0" w:firstColumn="1" w:lastColumn="0" w:oddVBand="0" w:evenVBand="0" w:oddHBand="0" w:evenHBand="0" w:firstRowFirstColumn="0" w:firstRowLastColumn="0" w:lastRowFirstColumn="0" w:lastRowLastColumn="0"/>
            <w:tcW w:w="2367" w:type="dxa"/>
            <w:tcBorders>
              <w:bottom w:val="nil"/>
            </w:tcBorders>
          </w:tcPr>
          <w:p w14:paraId="1CDCE35F" w14:textId="77777777" w:rsidR="001E6A7B" w:rsidRPr="009E46DF" w:rsidRDefault="001E6A7B" w:rsidP="001E6A7B">
            <w:pPr>
              <w:spacing w:before="60" w:after="60"/>
              <w:rPr>
                <w:b w:val="0"/>
                <w:sz w:val="20"/>
                <w:szCs w:val="20"/>
              </w:rPr>
            </w:pPr>
            <w:r w:rsidRPr="009E46DF">
              <w:rPr>
                <w:b w:val="0"/>
                <w:sz w:val="20"/>
                <w:szCs w:val="20"/>
              </w:rPr>
              <w:t>Coliforms (cfu/g)</w:t>
            </w:r>
          </w:p>
        </w:tc>
        <w:tc>
          <w:tcPr>
            <w:tcW w:w="1632" w:type="dxa"/>
            <w:tcBorders>
              <w:bottom w:val="nil"/>
            </w:tcBorders>
          </w:tcPr>
          <w:p w14:paraId="610B79DE"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&lt;1</w:t>
            </w:r>
          </w:p>
          <w:p w14:paraId="104F28FF"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&lt;1</w:t>
            </w:r>
          </w:p>
          <w:p w14:paraId="47E46EF7"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&lt;1</w:t>
            </w:r>
          </w:p>
        </w:tc>
        <w:tc>
          <w:tcPr>
            <w:tcW w:w="1671" w:type="dxa"/>
            <w:tcBorders>
              <w:bottom w:val="nil"/>
            </w:tcBorders>
          </w:tcPr>
          <w:p w14:paraId="2181D9A4"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 xml:space="preserve">≤30 </w:t>
            </w:r>
          </w:p>
        </w:tc>
        <w:tc>
          <w:tcPr>
            <w:tcW w:w="1594" w:type="dxa"/>
            <w:tcBorders>
              <w:bottom w:val="nil"/>
            </w:tcBorders>
          </w:tcPr>
          <w:p w14:paraId="0D872F3D"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≤30</w:t>
            </w:r>
          </w:p>
        </w:tc>
        <w:tc>
          <w:tcPr>
            <w:tcW w:w="1667" w:type="dxa"/>
            <w:tcBorders>
              <w:bottom w:val="nil"/>
            </w:tcBorders>
          </w:tcPr>
          <w:p w14:paraId="162BF5A7"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r>
      <w:tr w:rsidR="001E6A7B" w:rsidRPr="006014F1" w14:paraId="409E7F15" w14:textId="77777777" w:rsidTr="00042B1D">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shd w:val="clear" w:color="auto" w:fill="ECECEC"/>
          </w:tcPr>
          <w:p w14:paraId="3B95EBC8" w14:textId="77777777" w:rsidR="001E6A7B" w:rsidRPr="009E46DF" w:rsidRDefault="001E6A7B" w:rsidP="001E6A7B">
            <w:pPr>
              <w:spacing w:before="60" w:after="60"/>
              <w:rPr>
                <w:b w:val="0"/>
                <w:sz w:val="20"/>
                <w:szCs w:val="20"/>
              </w:rPr>
            </w:pPr>
            <w:r w:rsidRPr="009E46DF">
              <w:rPr>
                <w:b w:val="0"/>
                <w:i/>
                <w:sz w:val="20"/>
                <w:szCs w:val="20"/>
              </w:rPr>
              <w:t>Salmonella</w:t>
            </w:r>
            <w:r w:rsidRPr="009E46DF">
              <w:rPr>
                <w:b w:val="0"/>
                <w:sz w:val="20"/>
                <w:szCs w:val="20"/>
              </w:rPr>
              <w:t xml:space="preserve"> (in 25 g)</w:t>
            </w:r>
          </w:p>
        </w:tc>
        <w:tc>
          <w:tcPr>
            <w:tcW w:w="1632" w:type="dxa"/>
            <w:tcBorders>
              <w:top w:val="nil"/>
              <w:bottom w:val="nil"/>
            </w:tcBorders>
            <w:shd w:val="clear" w:color="auto" w:fill="ECECEC"/>
          </w:tcPr>
          <w:p w14:paraId="01833698" w14:textId="6767D839"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r w:rsidR="00B414E8">
              <w:rPr>
                <w:sz w:val="20"/>
                <w:szCs w:val="20"/>
              </w:rPr>
              <w:t>*</w:t>
            </w:r>
          </w:p>
          <w:p w14:paraId="21D21E04"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p>
          <w:p w14:paraId="14D64D28"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p>
        </w:tc>
        <w:tc>
          <w:tcPr>
            <w:tcW w:w="1671" w:type="dxa"/>
            <w:tcBorders>
              <w:top w:val="nil"/>
              <w:bottom w:val="nil"/>
            </w:tcBorders>
            <w:shd w:val="clear" w:color="auto" w:fill="ECECEC"/>
          </w:tcPr>
          <w:p w14:paraId="7C5AC45E"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Absent</w:t>
            </w:r>
          </w:p>
        </w:tc>
        <w:tc>
          <w:tcPr>
            <w:tcW w:w="1594" w:type="dxa"/>
            <w:tcBorders>
              <w:top w:val="nil"/>
              <w:bottom w:val="nil"/>
            </w:tcBorders>
            <w:shd w:val="clear" w:color="auto" w:fill="ECECEC"/>
          </w:tcPr>
          <w:p w14:paraId="412C419F"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Negative</w:t>
            </w:r>
          </w:p>
        </w:tc>
        <w:tc>
          <w:tcPr>
            <w:tcW w:w="1667" w:type="dxa"/>
            <w:tcBorders>
              <w:top w:val="nil"/>
              <w:bottom w:val="nil"/>
            </w:tcBorders>
            <w:shd w:val="clear" w:color="auto" w:fill="ECECEC"/>
          </w:tcPr>
          <w:p w14:paraId="59DE4F8B"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r>
      <w:tr w:rsidR="001E6A7B" w:rsidRPr="006014F1" w14:paraId="3CBCE940" w14:textId="77777777" w:rsidTr="00042B1D">
        <w:tc>
          <w:tcPr>
            <w:cnfStyle w:val="001000000000" w:firstRow="0" w:lastRow="0" w:firstColumn="1" w:lastColumn="0" w:oddVBand="0" w:evenVBand="0" w:oddHBand="0" w:evenHBand="0" w:firstRowFirstColumn="0" w:firstRowLastColumn="0" w:lastRowFirstColumn="0" w:lastRowLastColumn="0"/>
            <w:tcW w:w="2367" w:type="dxa"/>
            <w:tcBorders>
              <w:bottom w:val="nil"/>
            </w:tcBorders>
          </w:tcPr>
          <w:p w14:paraId="1B7E1E93" w14:textId="77777777" w:rsidR="001E6A7B" w:rsidRPr="009E46DF" w:rsidRDefault="001E6A7B" w:rsidP="001E6A7B">
            <w:pPr>
              <w:spacing w:before="60" w:after="60"/>
              <w:rPr>
                <w:b w:val="0"/>
                <w:i/>
                <w:sz w:val="20"/>
                <w:szCs w:val="20"/>
              </w:rPr>
            </w:pPr>
            <w:r w:rsidRPr="009E46DF">
              <w:rPr>
                <w:b w:val="0"/>
                <w:i/>
                <w:sz w:val="20"/>
                <w:szCs w:val="20"/>
              </w:rPr>
              <w:t xml:space="preserve">E. coli </w:t>
            </w:r>
            <w:r w:rsidRPr="009E46DF">
              <w:rPr>
                <w:b w:val="0"/>
                <w:sz w:val="20"/>
                <w:szCs w:val="20"/>
              </w:rPr>
              <w:t>(in 25 g)</w:t>
            </w:r>
          </w:p>
        </w:tc>
        <w:tc>
          <w:tcPr>
            <w:tcW w:w="1632" w:type="dxa"/>
            <w:tcBorders>
              <w:bottom w:val="nil"/>
            </w:tcBorders>
          </w:tcPr>
          <w:p w14:paraId="5067ADFD"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p>
          <w:p w14:paraId="348AB2C7"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p>
          <w:p w14:paraId="47F95D66"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p>
        </w:tc>
        <w:tc>
          <w:tcPr>
            <w:tcW w:w="1671" w:type="dxa"/>
            <w:tcBorders>
              <w:bottom w:val="nil"/>
            </w:tcBorders>
          </w:tcPr>
          <w:p w14:paraId="4480FB7B"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 xml:space="preserve">Absent </w:t>
            </w:r>
          </w:p>
        </w:tc>
        <w:tc>
          <w:tcPr>
            <w:tcW w:w="1594" w:type="dxa"/>
            <w:tcBorders>
              <w:bottom w:val="nil"/>
            </w:tcBorders>
          </w:tcPr>
          <w:p w14:paraId="233C66F7"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667" w:type="dxa"/>
            <w:tcBorders>
              <w:bottom w:val="nil"/>
            </w:tcBorders>
          </w:tcPr>
          <w:p w14:paraId="5F46DDEE" w14:textId="1D2A5A76"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r>
      <w:tr w:rsidR="001E6A7B" w:rsidRPr="006014F1" w14:paraId="2020AC71" w14:textId="77777777" w:rsidTr="00042B1D">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shd w:val="clear" w:color="auto" w:fill="ECECEC"/>
          </w:tcPr>
          <w:p w14:paraId="364D0468" w14:textId="77777777" w:rsidR="001E6A7B" w:rsidRPr="009E46DF" w:rsidRDefault="001E6A7B" w:rsidP="001E6A7B">
            <w:pPr>
              <w:spacing w:before="60" w:after="60"/>
              <w:rPr>
                <w:b w:val="0"/>
                <w:sz w:val="20"/>
                <w:szCs w:val="20"/>
              </w:rPr>
            </w:pPr>
            <w:r w:rsidRPr="009E46DF">
              <w:rPr>
                <w:b w:val="0"/>
                <w:sz w:val="20"/>
                <w:szCs w:val="20"/>
              </w:rPr>
              <w:t>Antimicrobial activity</w:t>
            </w:r>
          </w:p>
        </w:tc>
        <w:tc>
          <w:tcPr>
            <w:tcW w:w="1632" w:type="dxa"/>
            <w:tcBorders>
              <w:top w:val="nil"/>
              <w:bottom w:val="nil"/>
            </w:tcBorders>
            <w:shd w:val="clear" w:color="auto" w:fill="ECECEC"/>
          </w:tcPr>
          <w:p w14:paraId="43AEE08C"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p>
          <w:p w14:paraId="26E941BD"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p>
          <w:p w14:paraId="5D8BB232"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ND</w:t>
            </w:r>
          </w:p>
        </w:tc>
        <w:tc>
          <w:tcPr>
            <w:tcW w:w="1671" w:type="dxa"/>
            <w:tcBorders>
              <w:top w:val="nil"/>
              <w:bottom w:val="nil"/>
            </w:tcBorders>
            <w:shd w:val="clear" w:color="auto" w:fill="ECECEC"/>
          </w:tcPr>
          <w:p w14:paraId="53400D64"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Absent</w:t>
            </w:r>
          </w:p>
        </w:tc>
        <w:tc>
          <w:tcPr>
            <w:tcW w:w="1594" w:type="dxa"/>
            <w:tcBorders>
              <w:top w:val="nil"/>
              <w:bottom w:val="nil"/>
            </w:tcBorders>
            <w:shd w:val="clear" w:color="auto" w:fill="ECECEC"/>
          </w:tcPr>
          <w:p w14:paraId="5B4E9E60"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667" w:type="dxa"/>
            <w:tcBorders>
              <w:top w:val="nil"/>
              <w:bottom w:val="nil"/>
            </w:tcBorders>
            <w:shd w:val="clear" w:color="auto" w:fill="ECECEC"/>
          </w:tcPr>
          <w:p w14:paraId="721EBC09"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r>
      <w:tr w:rsidR="001E6A7B" w:rsidRPr="006014F1" w14:paraId="6FDC4F6D" w14:textId="77777777" w:rsidTr="00042B1D">
        <w:tc>
          <w:tcPr>
            <w:cnfStyle w:val="001000000000" w:firstRow="0" w:lastRow="0" w:firstColumn="1" w:lastColumn="0" w:oddVBand="0" w:evenVBand="0" w:oddHBand="0" w:evenHBand="0" w:firstRowFirstColumn="0" w:firstRowLastColumn="0" w:lastRowFirstColumn="0" w:lastRowLastColumn="0"/>
            <w:tcW w:w="2367" w:type="dxa"/>
            <w:tcBorders>
              <w:bottom w:val="single" w:sz="6" w:space="0" w:color="ECECEC"/>
            </w:tcBorders>
          </w:tcPr>
          <w:p w14:paraId="2084389B" w14:textId="77777777" w:rsidR="001E6A7B" w:rsidRPr="009E46DF" w:rsidRDefault="001E6A7B" w:rsidP="001E6A7B">
            <w:pPr>
              <w:spacing w:before="60" w:after="60"/>
              <w:rPr>
                <w:b w:val="0"/>
                <w:sz w:val="20"/>
                <w:szCs w:val="20"/>
              </w:rPr>
            </w:pPr>
            <w:r w:rsidRPr="009E46DF">
              <w:rPr>
                <w:b w:val="0"/>
                <w:sz w:val="20"/>
                <w:szCs w:val="20"/>
              </w:rPr>
              <w:t>Mycotoxins</w:t>
            </w:r>
          </w:p>
        </w:tc>
        <w:tc>
          <w:tcPr>
            <w:tcW w:w="1632" w:type="dxa"/>
            <w:tcBorders>
              <w:bottom w:val="single" w:sz="6" w:space="0" w:color="ECECEC"/>
            </w:tcBorders>
          </w:tcPr>
          <w:p w14:paraId="0B7C45B7" w14:textId="128AF780" w:rsidR="001E6A7B" w:rsidRPr="009E46DF" w:rsidRDefault="001E6A7B" w:rsidP="00042B1D">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 xml:space="preserve">No significant amount of major </w:t>
            </w:r>
            <w:r w:rsidR="00042B1D">
              <w:rPr>
                <w:sz w:val="20"/>
                <w:szCs w:val="20"/>
              </w:rPr>
              <w:t>ones in</w:t>
            </w:r>
            <w:r w:rsidRPr="009E46DF">
              <w:rPr>
                <w:sz w:val="20"/>
                <w:szCs w:val="20"/>
              </w:rPr>
              <w:t xml:space="preserve"> three samples</w:t>
            </w:r>
          </w:p>
        </w:tc>
        <w:tc>
          <w:tcPr>
            <w:tcW w:w="1671" w:type="dxa"/>
            <w:tcBorders>
              <w:bottom w:val="single" w:sz="6" w:space="0" w:color="ECECEC"/>
            </w:tcBorders>
          </w:tcPr>
          <w:p w14:paraId="398B21D2" w14:textId="77777777" w:rsidR="001E6A7B" w:rsidRPr="009E46DF" w:rsidRDefault="001E6A7B" w:rsidP="00B414E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No toxicologically significant amounts</w:t>
            </w:r>
          </w:p>
        </w:tc>
        <w:tc>
          <w:tcPr>
            <w:tcW w:w="1594" w:type="dxa"/>
            <w:tcBorders>
              <w:bottom w:val="single" w:sz="6" w:space="0" w:color="ECECEC"/>
            </w:tcBorders>
          </w:tcPr>
          <w:p w14:paraId="299D52CD"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c>
          <w:tcPr>
            <w:tcW w:w="1667" w:type="dxa"/>
            <w:tcBorders>
              <w:bottom w:val="single" w:sz="6" w:space="0" w:color="ECECEC"/>
            </w:tcBorders>
          </w:tcPr>
          <w:p w14:paraId="137E5054" w14:textId="77777777" w:rsidR="001E6A7B" w:rsidRPr="009E46D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9E46DF">
              <w:rPr>
                <w:sz w:val="20"/>
                <w:szCs w:val="20"/>
              </w:rPr>
              <w:t>-</w:t>
            </w:r>
          </w:p>
        </w:tc>
      </w:tr>
    </w:tbl>
    <w:p w14:paraId="71DFE92D" w14:textId="17DC79A0" w:rsidR="001E6A7B" w:rsidRPr="00B414E8" w:rsidRDefault="00B414E8" w:rsidP="001E6A7B">
      <w:pPr>
        <w:rPr>
          <w:sz w:val="18"/>
          <w:szCs w:val="18"/>
        </w:rPr>
      </w:pPr>
      <w:r w:rsidRPr="00B414E8">
        <w:rPr>
          <w:sz w:val="18"/>
          <w:szCs w:val="18"/>
        </w:rPr>
        <w:t>*ND – not detected</w:t>
      </w:r>
    </w:p>
    <w:p w14:paraId="06A6C340" w14:textId="77777777" w:rsidR="00B414E8" w:rsidRPr="006014F1" w:rsidRDefault="00B414E8" w:rsidP="001E6A7B"/>
    <w:p w14:paraId="360168CC" w14:textId="0FD5F14C" w:rsidR="001E6A7B" w:rsidRDefault="001E6A7B" w:rsidP="001E6A7B">
      <w:r>
        <w:t>Based on the above results of batch analysis, t</w:t>
      </w:r>
      <w:r w:rsidRPr="006014F1">
        <w:t>he enzyme meets international and</w:t>
      </w:r>
      <w:r>
        <w:t xml:space="preserve"> Code specifications for enzymes </w:t>
      </w:r>
      <w:r w:rsidRPr="006014F1">
        <w:t>used in the production of food.</w:t>
      </w:r>
      <w:r>
        <w:t xml:space="preserve"> </w:t>
      </w:r>
    </w:p>
    <w:p w14:paraId="6F1E20EA" w14:textId="1C43B226" w:rsidR="001E6A7B" w:rsidRDefault="001E6A7B" w:rsidP="001E6A7B">
      <w:pPr>
        <w:pStyle w:val="Heading3"/>
      </w:pPr>
      <w:bookmarkStart w:id="18" w:name="_Toc472327052"/>
      <w:bookmarkStart w:id="19" w:name="_Toc501699826"/>
      <w:bookmarkStart w:id="20" w:name="_Toc528851088"/>
      <w:r>
        <w:t>2.2.3</w:t>
      </w:r>
      <w:r w:rsidR="0035149D">
        <w:tab/>
      </w:r>
      <w:r>
        <w:t>Stability</w:t>
      </w:r>
      <w:bookmarkEnd w:id="18"/>
      <w:bookmarkEnd w:id="19"/>
      <w:bookmarkEnd w:id="20"/>
    </w:p>
    <w:p w14:paraId="71E1A3CC" w14:textId="6E5445B3" w:rsidR="001E6A7B" w:rsidRPr="00854F6B" w:rsidRDefault="001E6A7B" w:rsidP="001E6A7B">
      <w:r>
        <w:t xml:space="preserve">The product </w:t>
      </w:r>
      <w:r w:rsidR="003A5C2C">
        <w:t>technical data</w:t>
      </w:r>
      <w:r>
        <w:t xml:space="preserve"> sheet for Rohalase</w:t>
      </w:r>
      <w:r>
        <w:rPr>
          <w:rFonts w:cs="Arial"/>
        </w:rPr>
        <w:t>®</w:t>
      </w:r>
      <w:r>
        <w:t xml:space="preserve"> F indicates that the product should be stored in cool and dry conditions (&lt;10°C). Under these s</w:t>
      </w:r>
      <w:r w:rsidR="008D0084">
        <w:t>torage conditions, Rohalase® F is best used</w:t>
      </w:r>
      <w:r>
        <w:t xml:space="preserve"> </w:t>
      </w:r>
      <w:r w:rsidR="008D0084">
        <w:t>within 24</w:t>
      </w:r>
      <w:r>
        <w:t xml:space="preserve"> months from the date of production. </w:t>
      </w:r>
    </w:p>
    <w:p w14:paraId="7855AD6F" w14:textId="77777777" w:rsidR="001E6A7B" w:rsidRDefault="001E6A7B" w:rsidP="001E6A7B">
      <w:pPr>
        <w:pStyle w:val="Heading2"/>
      </w:pPr>
      <w:bookmarkStart w:id="21" w:name="_Toc472327053"/>
      <w:bookmarkStart w:id="22" w:name="_Toc501699827"/>
      <w:bookmarkStart w:id="23" w:name="_Toc528851089"/>
      <w:r>
        <w:t>2.3</w:t>
      </w:r>
      <w:r>
        <w:tab/>
        <w:t>Food technology conclusion</w:t>
      </w:r>
      <w:bookmarkEnd w:id="21"/>
      <w:bookmarkEnd w:id="22"/>
      <w:bookmarkEnd w:id="23"/>
    </w:p>
    <w:p w14:paraId="09EB83EC" w14:textId="2DFC214C" w:rsidR="001E6A7B" w:rsidRDefault="001E6A7B" w:rsidP="001E6A7B">
      <w:r w:rsidRPr="006014F1">
        <w:t xml:space="preserve">The </w:t>
      </w:r>
      <w:r w:rsidR="00FE665B">
        <w:t>use</w:t>
      </w:r>
      <w:r w:rsidRPr="006014F1">
        <w:t xml:space="preserve"> of this </w:t>
      </w:r>
      <w:r>
        <w:t>lysophospholipase</w:t>
      </w:r>
      <w:r w:rsidRPr="00F418CA">
        <w:rPr>
          <w:szCs w:val="20"/>
        </w:rPr>
        <w:t xml:space="preserve"> </w:t>
      </w:r>
      <w:r>
        <w:rPr>
          <w:szCs w:val="20"/>
        </w:rPr>
        <w:t xml:space="preserve">enzyme </w:t>
      </w:r>
      <w:r w:rsidR="00FE665B">
        <w:t>to</w:t>
      </w:r>
      <w:r w:rsidRPr="006014F1">
        <w:t xml:space="preserve"> process </w:t>
      </w:r>
      <w:r>
        <w:t xml:space="preserve">starch, including the production of syrups, is </w:t>
      </w:r>
      <w:r w:rsidRPr="006014F1">
        <w:t xml:space="preserve">clearly articulated in the </w:t>
      </w:r>
      <w:r>
        <w:t>a</w:t>
      </w:r>
      <w:r w:rsidRPr="006014F1">
        <w:t xml:space="preserve">pplication. </w:t>
      </w:r>
      <w:r>
        <w:t>T</w:t>
      </w:r>
      <w:r w:rsidRPr="006014F1">
        <w:t xml:space="preserve">his enzyme will be used </w:t>
      </w:r>
      <w:r>
        <w:t>to hydrolys</w:t>
      </w:r>
      <w:r w:rsidR="00FE665B">
        <w:t>e</w:t>
      </w:r>
      <w:r>
        <w:t xml:space="preserve"> lysophospholipids in starch, which would otherwise </w:t>
      </w:r>
      <w:r>
        <w:lastRenderedPageBreak/>
        <w:t xml:space="preserve">have a negative impact on the filtration rate and clarity of the starch hydrolysates (syrups). </w:t>
      </w:r>
    </w:p>
    <w:p w14:paraId="2B30AD4F" w14:textId="77777777" w:rsidR="001E6A7B" w:rsidRDefault="001E6A7B" w:rsidP="001E6A7B"/>
    <w:p w14:paraId="05756880" w14:textId="2CF79D98" w:rsidR="001E6A7B" w:rsidRDefault="00D4290A" w:rsidP="001E6A7B">
      <w:r>
        <w:t>AB Enzymes’</w:t>
      </w:r>
      <w:r w:rsidR="001E6A7B">
        <w:t xml:space="preserve"> lysophospholipase</w:t>
      </w:r>
      <w:r w:rsidR="001E6A7B" w:rsidRPr="00F418CA">
        <w:rPr>
          <w:szCs w:val="20"/>
        </w:rPr>
        <w:t xml:space="preserve"> </w:t>
      </w:r>
      <w:r>
        <w:rPr>
          <w:szCs w:val="20"/>
        </w:rPr>
        <w:t xml:space="preserve">is </w:t>
      </w:r>
      <w:r w:rsidR="001E6A7B">
        <w:rPr>
          <w:szCs w:val="20"/>
        </w:rPr>
        <w:t xml:space="preserve">sourced from a </w:t>
      </w:r>
      <w:r w:rsidR="001E6A7B">
        <w:t xml:space="preserve">genetically modified strain of </w:t>
      </w:r>
      <w:r w:rsidR="001E6A7B">
        <w:rPr>
          <w:i/>
        </w:rPr>
        <w:t>T. reesei</w:t>
      </w:r>
      <w:r w:rsidR="001E6A7B">
        <w:t>. C</w:t>
      </w:r>
      <w:r w:rsidR="001E6A7B">
        <w:rPr>
          <w:szCs w:val="20"/>
        </w:rPr>
        <w:t xml:space="preserve">ompared with </w:t>
      </w:r>
      <w:r w:rsidR="001E6A7B">
        <w:t>other enzyme product</w:t>
      </w:r>
      <w:r w:rsidR="00632CE2">
        <w:t>s</w:t>
      </w:r>
      <w:r w:rsidR="001E6A7B">
        <w:t xml:space="preserve"> on the market, this enzyme has been found to have a higher enzyme activity, which means the </w:t>
      </w:r>
      <w:r w:rsidR="00FE665B">
        <w:t>level of use</w:t>
      </w:r>
      <w:r w:rsidR="001E6A7B">
        <w:t xml:space="preserve"> is lower and less excipients are added during starch processing. </w:t>
      </w:r>
    </w:p>
    <w:p w14:paraId="04369DD7" w14:textId="77777777" w:rsidR="001E6A7B" w:rsidRDefault="001E6A7B" w:rsidP="001E6A7B"/>
    <w:p w14:paraId="3E520272" w14:textId="05AE538E" w:rsidR="001E6A7B" w:rsidRDefault="001E6A7B" w:rsidP="001E6A7B">
      <w:r w:rsidRPr="006014F1">
        <w:t xml:space="preserve">The evidence presented to support the proposed use </w:t>
      </w:r>
      <w:r>
        <w:t xml:space="preserve">of the enzyme </w:t>
      </w:r>
      <w:r w:rsidRPr="006014F1">
        <w:t>provides adequate assurance that the enzyme, in the form and prescribed amounts</w:t>
      </w:r>
      <w:r>
        <w:t xml:space="preserve"> </w:t>
      </w:r>
      <w:r w:rsidRPr="006014F1">
        <w:t>is technologically justified and has been demonstrated to be effective in achieving its stated purpose. The enzyme meets international purity specifications</w:t>
      </w:r>
      <w:r>
        <w:t>.</w:t>
      </w:r>
    </w:p>
    <w:p w14:paraId="5B2C9CE0" w14:textId="5F5075A6" w:rsidR="00CA3849" w:rsidRPr="001E6A7B" w:rsidRDefault="00CA3849" w:rsidP="001E6A7B">
      <w:pPr>
        <w:pStyle w:val="Heading1"/>
      </w:pPr>
      <w:bookmarkStart w:id="24" w:name="_Toc505255637"/>
      <w:bookmarkStart w:id="25" w:name="_Toc528851090"/>
      <w:r w:rsidRPr="001E6A7B">
        <w:t>3 Safety assessment</w:t>
      </w:r>
      <w:bookmarkStart w:id="26" w:name="_Toc471740081"/>
      <w:bookmarkStart w:id="27" w:name="_Toc499282437"/>
      <w:bookmarkEnd w:id="24"/>
      <w:bookmarkEnd w:id="25"/>
    </w:p>
    <w:p w14:paraId="3D6D4F4C" w14:textId="65C51EBC" w:rsidR="00CA3849" w:rsidRPr="006C2969" w:rsidRDefault="00CA3849" w:rsidP="001E6A7B">
      <w:pPr>
        <w:pStyle w:val="Heading2"/>
      </w:pPr>
      <w:bookmarkStart w:id="28" w:name="_Toc471740085"/>
      <w:bookmarkStart w:id="29" w:name="_Toc499282440"/>
      <w:bookmarkStart w:id="30" w:name="_Toc505255639"/>
      <w:bookmarkStart w:id="31" w:name="_Toc528851091"/>
      <w:bookmarkEnd w:id="26"/>
      <w:bookmarkEnd w:id="27"/>
      <w:r w:rsidRPr="006C2969">
        <w:t>3.</w:t>
      </w:r>
      <w:bookmarkEnd w:id="28"/>
      <w:r w:rsidR="00A07714">
        <w:t>1</w:t>
      </w:r>
      <w:r w:rsidR="001E6A7B">
        <w:tab/>
      </w:r>
      <w:r w:rsidRPr="006C2969">
        <w:t>History of use</w:t>
      </w:r>
      <w:bookmarkEnd w:id="29"/>
      <w:bookmarkEnd w:id="30"/>
      <w:bookmarkEnd w:id="31"/>
      <w:r w:rsidRPr="006C2969">
        <w:t xml:space="preserve"> </w:t>
      </w:r>
    </w:p>
    <w:p w14:paraId="2587F027" w14:textId="5BE035E4" w:rsidR="00CA3849" w:rsidRPr="00D67005" w:rsidRDefault="00CA3849" w:rsidP="001E6A7B">
      <w:pPr>
        <w:pStyle w:val="Heading3"/>
      </w:pPr>
      <w:bookmarkStart w:id="32" w:name="_Toc498940968"/>
      <w:bookmarkStart w:id="33" w:name="_Toc499282441"/>
      <w:bookmarkStart w:id="34" w:name="_Toc528851092"/>
      <w:r>
        <w:t>3.</w:t>
      </w:r>
      <w:r w:rsidR="00A07714">
        <w:t>1</w:t>
      </w:r>
      <w:r>
        <w:t>.1</w:t>
      </w:r>
      <w:r w:rsidR="0035149D">
        <w:tab/>
      </w:r>
      <w:r>
        <w:t>Host organism</w:t>
      </w:r>
      <w:bookmarkEnd w:id="32"/>
      <w:bookmarkEnd w:id="33"/>
      <w:bookmarkEnd w:id="34"/>
      <w:r>
        <w:t xml:space="preserve"> </w:t>
      </w:r>
    </w:p>
    <w:p w14:paraId="45774528" w14:textId="31C46216" w:rsidR="009157CA" w:rsidRDefault="009157CA" w:rsidP="009157CA">
      <w:pPr>
        <w:spacing w:line="20" w:lineRule="atLeast"/>
        <w:rPr>
          <w:rFonts w:cs="Arial"/>
          <w:color w:val="000000" w:themeColor="text1"/>
        </w:rPr>
      </w:pPr>
      <w:r w:rsidRPr="00C77AB3">
        <w:rPr>
          <w:i/>
        </w:rPr>
        <w:t>T.</w:t>
      </w:r>
      <w:r w:rsidRPr="00C77AB3">
        <w:rPr>
          <w:rFonts w:cs="Arial"/>
          <w:i/>
          <w:color w:val="000000" w:themeColor="text1"/>
        </w:rPr>
        <w:t xml:space="preserve"> reesei</w:t>
      </w:r>
      <w:r w:rsidRPr="00C77AB3">
        <w:rPr>
          <w:rFonts w:cs="Arial"/>
          <w:color w:val="000000" w:themeColor="text1"/>
        </w:rPr>
        <w:t xml:space="preserve"> is a hypercellulolytic fungus commonly found in soil. The initial isolate came from deteriorating clothing and tent material found in the Solomon Islands after World War II. The initial isolate QM6a has been registered with the American Type Culture Collection (ATCC 13631) and has been classed as a Biosafety Level 1 organism, based on the </w:t>
      </w:r>
      <w:hyperlink r:id="rId22" w:history="1">
        <w:r w:rsidRPr="00C77AB3">
          <w:rPr>
            <w:rStyle w:val="Hyperlink"/>
            <w:rFonts w:cs="Arial"/>
          </w:rPr>
          <w:t>United States Public Health Service Guidelines</w:t>
        </w:r>
      </w:hyperlink>
      <w:r w:rsidRPr="00C77AB3">
        <w:rPr>
          <w:rStyle w:val="FootnoteReference"/>
          <w:rFonts w:cs="Arial"/>
          <w:color w:val="000000" w:themeColor="text1"/>
        </w:rPr>
        <w:footnoteReference w:id="9"/>
      </w:r>
      <w:r w:rsidRPr="00C77AB3">
        <w:rPr>
          <w:rFonts w:cs="Arial"/>
          <w:color w:val="000000" w:themeColor="text1"/>
        </w:rPr>
        <w:t>, and is not considered pathogenic to humans.</w:t>
      </w:r>
      <w:r>
        <w:rPr>
          <w:rFonts w:cs="Arial"/>
          <w:color w:val="000000" w:themeColor="text1"/>
        </w:rPr>
        <w:t xml:space="preserve"> All strains of </w:t>
      </w:r>
      <w:r w:rsidRPr="003B6AC1">
        <w:rPr>
          <w:rFonts w:cs="Arial"/>
          <w:i/>
          <w:color w:val="000000" w:themeColor="text1"/>
        </w:rPr>
        <w:t xml:space="preserve">T. reesei </w:t>
      </w:r>
      <w:r>
        <w:rPr>
          <w:rFonts w:cs="Arial"/>
          <w:color w:val="000000" w:themeColor="text1"/>
        </w:rPr>
        <w:t>used today in biotechnology have been derived from this particular isolate (</w:t>
      </w:r>
      <w:r w:rsidRPr="00B440B7">
        <w:rPr>
          <w:rFonts w:cs="Arial"/>
          <w:color w:val="000000" w:themeColor="text1"/>
        </w:rPr>
        <w:t>Nevalainen et al 1994;</w:t>
      </w:r>
      <w:r>
        <w:rPr>
          <w:rFonts w:cs="Arial"/>
          <w:color w:val="000000" w:themeColor="text1"/>
        </w:rPr>
        <w:t xml:space="preserve"> </w:t>
      </w:r>
      <w:r w:rsidRPr="00490327">
        <w:rPr>
          <w:rFonts w:cs="Arial"/>
          <w:color w:val="000000" w:themeColor="text1"/>
        </w:rPr>
        <w:t>Seidl et al 2009).</w:t>
      </w:r>
    </w:p>
    <w:p w14:paraId="55F3A65B" w14:textId="77777777" w:rsidR="009157CA" w:rsidRPr="00C77AB3" w:rsidRDefault="009157CA" w:rsidP="009157CA">
      <w:pPr>
        <w:spacing w:line="20" w:lineRule="atLeast"/>
        <w:rPr>
          <w:rFonts w:cs="Arial"/>
          <w:color w:val="000000" w:themeColor="text1"/>
        </w:rPr>
      </w:pPr>
    </w:p>
    <w:p w14:paraId="5B92D8E4" w14:textId="45AC6841" w:rsidR="009157CA" w:rsidRPr="00C77AB3" w:rsidRDefault="009157CA" w:rsidP="009157CA">
      <w:pPr>
        <w:spacing w:line="20" w:lineRule="atLeast"/>
        <w:rPr>
          <w:rFonts w:cs="Arial"/>
          <w:color w:val="000000" w:themeColor="text1"/>
        </w:rPr>
      </w:pPr>
      <w:r w:rsidRPr="00C77AB3">
        <w:t xml:space="preserve">The </w:t>
      </w:r>
      <w:r w:rsidR="00597140">
        <w:t>production</w:t>
      </w:r>
      <w:r w:rsidR="00597140" w:rsidRPr="00C77AB3">
        <w:t xml:space="preserve"> </w:t>
      </w:r>
      <w:r w:rsidRPr="00C77AB3">
        <w:t xml:space="preserve">strain of </w:t>
      </w:r>
      <w:r w:rsidR="00597140" w:rsidRPr="00C77AB3">
        <w:rPr>
          <w:i/>
          <w:iCs/>
        </w:rPr>
        <w:t xml:space="preserve">T. reesei </w:t>
      </w:r>
      <w:r w:rsidR="00597140">
        <w:rPr>
          <w:iCs/>
        </w:rPr>
        <w:t xml:space="preserve">containing </w:t>
      </w:r>
      <w:r w:rsidRPr="00C77AB3">
        <w:t xml:space="preserve">the lysophospholipase gene was characterized by the Centraalbureau voor Schimmelcultures (CBS) in the Netherlands as </w:t>
      </w:r>
      <w:r w:rsidRPr="00C77AB3">
        <w:rPr>
          <w:i/>
          <w:iCs/>
        </w:rPr>
        <w:t>Trichoderma reesei</w:t>
      </w:r>
      <w:r w:rsidRPr="00C77AB3">
        <w:rPr>
          <w:iCs/>
        </w:rPr>
        <w:t xml:space="preserve"> E.G. Simmons</w:t>
      </w:r>
      <w:r w:rsidRPr="00C77AB3">
        <w:t xml:space="preserve">. </w:t>
      </w:r>
      <w:r w:rsidRPr="00C77AB3">
        <w:rPr>
          <w:rFonts w:cs="Arial"/>
          <w:color w:val="000000" w:themeColor="text1"/>
        </w:rPr>
        <w:t>The characterisation was based on</w:t>
      </w:r>
      <w:r w:rsidRPr="00C77AB3">
        <w:t xml:space="preserve"> the DNA sequence of Internal Transcribed Spacer 1 and 2, and the 5.8S ribosomal RNA gene. </w:t>
      </w:r>
      <w:r w:rsidRPr="00C77AB3">
        <w:rPr>
          <w:lang w:val="en-US"/>
        </w:rPr>
        <w:t xml:space="preserve">The sequence had a 100% match with the </w:t>
      </w:r>
      <w:r w:rsidRPr="00C77AB3">
        <w:rPr>
          <w:i/>
          <w:lang w:val="en-US"/>
        </w:rPr>
        <w:t>T. reesei</w:t>
      </w:r>
      <w:r w:rsidRPr="00C77AB3">
        <w:rPr>
          <w:lang w:val="en-US"/>
        </w:rPr>
        <w:t xml:space="preserve"> reference sequence for diagnosis of the International Subcommission on </w:t>
      </w:r>
      <w:r w:rsidRPr="00C77AB3">
        <w:rPr>
          <w:i/>
          <w:lang w:val="en-US"/>
        </w:rPr>
        <w:t>Trichoderma</w:t>
      </w:r>
      <w:r w:rsidRPr="00C77AB3">
        <w:rPr>
          <w:lang w:val="en-US"/>
        </w:rPr>
        <w:t xml:space="preserve"> and </w:t>
      </w:r>
      <w:r w:rsidRPr="00C77AB3">
        <w:rPr>
          <w:i/>
          <w:lang w:val="en-US"/>
        </w:rPr>
        <w:t>Hypocrea</w:t>
      </w:r>
      <w:r w:rsidRPr="00C77AB3">
        <w:rPr>
          <w:lang w:val="en-US"/>
        </w:rPr>
        <w:t xml:space="preserve"> (</w:t>
      </w:r>
      <w:hyperlink r:id="rId23" w:history="1">
        <w:r w:rsidRPr="00C77AB3">
          <w:rPr>
            <w:rStyle w:val="Hyperlink"/>
            <w:lang w:val="en-US"/>
          </w:rPr>
          <w:t>http://www.isth.info/</w:t>
        </w:r>
      </w:hyperlink>
      <w:r w:rsidRPr="00C77AB3">
        <w:rPr>
          <w:lang w:val="en-US"/>
        </w:rPr>
        <w:t xml:space="preserve">). Additional analyses with the Basic Local Alignment Search Tool (BLAST) also showed 100% similarity with the type species of </w:t>
      </w:r>
      <w:r w:rsidRPr="00C77AB3">
        <w:rPr>
          <w:i/>
          <w:iCs/>
          <w:lang w:val="en-US"/>
        </w:rPr>
        <w:t>Trichoderma reesei</w:t>
      </w:r>
      <w:r w:rsidRPr="00C77AB3">
        <w:rPr>
          <w:iCs/>
          <w:lang w:val="en-US"/>
        </w:rPr>
        <w:t xml:space="preserve">, </w:t>
      </w:r>
      <w:r w:rsidRPr="00C77AB3">
        <w:rPr>
          <w:rFonts w:cs="Arial"/>
          <w:color w:val="000000" w:themeColor="text1"/>
        </w:rPr>
        <w:t xml:space="preserve">confirming the taxonomy of the </w:t>
      </w:r>
      <w:r w:rsidR="00597140">
        <w:rPr>
          <w:rFonts w:cs="Arial"/>
          <w:color w:val="000000" w:themeColor="text1"/>
        </w:rPr>
        <w:t>production</w:t>
      </w:r>
      <w:r w:rsidR="00597140" w:rsidRPr="00C77AB3">
        <w:rPr>
          <w:rFonts w:cs="Arial"/>
          <w:color w:val="000000" w:themeColor="text1"/>
        </w:rPr>
        <w:t xml:space="preserve"> </w:t>
      </w:r>
      <w:r w:rsidRPr="00C77AB3">
        <w:rPr>
          <w:rFonts w:cs="Arial"/>
          <w:color w:val="000000" w:themeColor="text1"/>
        </w:rPr>
        <w:t>strain.</w:t>
      </w:r>
    </w:p>
    <w:p w14:paraId="0394F355" w14:textId="77777777" w:rsidR="009157CA" w:rsidRDefault="009157CA" w:rsidP="009157CA">
      <w:pPr>
        <w:spacing w:line="20" w:lineRule="atLeast"/>
        <w:rPr>
          <w:rFonts w:cs="Arial"/>
          <w:color w:val="000000" w:themeColor="text1"/>
        </w:rPr>
      </w:pPr>
    </w:p>
    <w:p w14:paraId="47647A2D" w14:textId="2DE89E71" w:rsidR="009157CA" w:rsidRPr="00C77AB3" w:rsidRDefault="009157CA" w:rsidP="009157CA">
      <w:pPr>
        <w:spacing w:line="20" w:lineRule="atLeast"/>
        <w:rPr>
          <w:rFonts w:cs="Arial"/>
          <w:color w:val="000000" w:themeColor="text1"/>
        </w:rPr>
      </w:pPr>
      <w:r w:rsidRPr="00C77AB3">
        <w:rPr>
          <w:rFonts w:cs="Arial"/>
          <w:color w:val="000000" w:themeColor="text1"/>
        </w:rPr>
        <w:t xml:space="preserve">Prior to generation of the final production strain (RF7206), the host organism was modified using a range of conventional mutagenesis and genetically engineered changes that are routinely used to optimise organisms for industrial use. </w:t>
      </w:r>
      <w:r w:rsidR="008D7BC2">
        <w:rPr>
          <w:rFonts w:cs="Arial"/>
          <w:color w:val="000000" w:themeColor="text1"/>
        </w:rPr>
        <w:t>During this development, a functional</w:t>
      </w:r>
      <w:r w:rsidR="002540B9">
        <w:rPr>
          <w:rFonts w:cs="Arial"/>
          <w:color w:val="000000" w:themeColor="text1"/>
        </w:rPr>
        <w:t xml:space="preserve"> antibiotic resistance gene</w:t>
      </w:r>
      <w:r w:rsidR="00F5724F">
        <w:rPr>
          <w:rFonts w:cs="Arial"/>
          <w:color w:val="000000" w:themeColor="text1"/>
        </w:rPr>
        <w:t xml:space="preserve"> was spontaneously lost.</w:t>
      </w:r>
    </w:p>
    <w:p w14:paraId="0BA4F5D0" w14:textId="77777777" w:rsidR="009157CA" w:rsidRPr="00C77AB3" w:rsidRDefault="009157CA" w:rsidP="009157CA">
      <w:pPr>
        <w:spacing w:line="20" w:lineRule="atLeast"/>
        <w:rPr>
          <w:rFonts w:cs="Arial"/>
          <w:color w:val="000000" w:themeColor="text1"/>
        </w:rPr>
      </w:pPr>
    </w:p>
    <w:p w14:paraId="77901D93" w14:textId="1AF459BB" w:rsidR="009157CA" w:rsidRDefault="009157CA" w:rsidP="009157CA">
      <w:pPr>
        <w:spacing w:line="20" w:lineRule="atLeast"/>
        <w:rPr>
          <w:rFonts w:cs="Arial"/>
          <w:color w:val="000000" w:themeColor="text1"/>
        </w:rPr>
      </w:pPr>
      <w:r>
        <w:rPr>
          <w:rFonts w:cs="Arial"/>
          <w:color w:val="000000" w:themeColor="text1"/>
        </w:rPr>
        <w:t>While lysophospholipase comprises the main enzyme in the product ob</w:t>
      </w:r>
      <w:r>
        <w:rPr>
          <w:rFonts w:cs="Arial"/>
          <w:color w:val="000000" w:themeColor="text1"/>
        </w:rPr>
        <w:lastRenderedPageBreak/>
        <w:t xml:space="preserve">tained from RF7206, other endogenous </w:t>
      </w:r>
      <w:r w:rsidRPr="00FE1F27">
        <w:rPr>
          <w:rFonts w:cs="Arial"/>
          <w:i/>
          <w:color w:val="000000" w:themeColor="text1"/>
        </w:rPr>
        <w:t>Trichoderma</w:t>
      </w:r>
      <w:r>
        <w:rPr>
          <w:rFonts w:cs="Arial"/>
          <w:color w:val="000000" w:themeColor="text1"/>
        </w:rPr>
        <w:t xml:space="preserve"> proteins (such as cellobiohydrolases, xylanases and endoglucanases) are also present in small amounts. Due to the secretion of a range of cellulolytic enzymes, this fungus has been used since the </w:t>
      </w:r>
      <w:r w:rsidRPr="00D65AF7">
        <w:rPr>
          <w:rFonts w:cs="Arial"/>
          <w:color w:val="000000" w:themeColor="text1"/>
        </w:rPr>
        <w:t xml:space="preserve">1980s for the industrial production of enzymes for a range of industries including food (Nevalainen and Peterson, 2014; Paloheimo et al, 2016; </w:t>
      </w:r>
      <w:hyperlink r:id="rId24" w:history="1">
        <w:r w:rsidRPr="00D65AF7">
          <w:rPr>
            <w:rStyle w:val="Hyperlink"/>
            <w:rFonts w:cs="Arial"/>
          </w:rPr>
          <w:t>Schedule 18</w:t>
        </w:r>
      </w:hyperlink>
      <w:r w:rsidRPr="00D65AF7">
        <w:rPr>
          <w:rStyle w:val="FootnoteReference"/>
          <w:rFonts w:cs="Arial"/>
          <w:color w:val="000000" w:themeColor="text1"/>
        </w:rPr>
        <w:footnoteReference w:id="10"/>
      </w:r>
      <w:r w:rsidRPr="00D65AF7">
        <w:rPr>
          <w:rFonts w:cs="Arial"/>
          <w:color w:val="000000" w:themeColor="text1"/>
        </w:rPr>
        <w:t xml:space="preserve"> of the Code). There is therefore a long history of safe use of </w:t>
      </w:r>
      <w:r w:rsidRPr="00D65AF7">
        <w:rPr>
          <w:rFonts w:cs="Arial"/>
          <w:i/>
          <w:color w:val="000000" w:themeColor="text1"/>
        </w:rPr>
        <w:t>T. reesei</w:t>
      </w:r>
      <w:r w:rsidRPr="00D65AF7">
        <w:rPr>
          <w:rFonts w:cs="Arial"/>
          <w:color w:val="000000" w:themeColor="text1"/>
        </w:rPr>
        <w:t xml:space="preserve"> for the production of food grade</w:t>
      </w:r>
      <w:r>
        <w:rPr>
          <w:rFonts w:cs="Arial"/>
          <w:color w:val="000000" w:themeColor="text1"/>
        </w:rPr>
        <w:t xml:space="preserve"> enzymes.</w:t>
      </w:r>
    </w:p>
    <w:p w14:paraId="702F4322" w14:textId="517C623E" w:rsidR="00CA3849" w:rsidRDefault="00CA3849" w:rsidP="001E6A7B">
      <w:pPr>
        <w:pStyle w:val="Heading3"/>
      </w:pPr>
      <w:bookmarkStart w:id="35" w:name="_Toc498940969"/>
      <w:bookmarkStart w:id="36" w:name="_Toc499282442"/>
      <w:bookmarkStart w:id="37" w:name="_Toc528851093"/>
      <w:r>
        <w:t>3.</w:t>
      </w:r>
      <w:r w:rsidR="00A07714">
        <w:t>1</w:t>
      </w:r>
      <w:r>
        <w:t>.2</w:t>
      </w:r>
      <w:r w:rsidR="0035149D">
        <w:tab/>
      </w:r>
      <w:r>
        <w:t>Gene donor organisms</w:t>
      </w:r>
      <w:bookmarkEnd w:id="35"/>
      <w:bookmarkEnd w:id="36"/>
      <w:bookmarkEnd w:id="37"/>
      <w:r>
        <w:t xml:space="preserve"> </w:t>
      </w:r>
    </w:p>
    <w:p w14:paraId="29513596" w14:textId="77777777" w:rsidR="00513335" w:rsidRDefault="00CA3849" w:rsidP="00CA3849">
      <w:pPr>
        <w:spacing w:line="20" w:lineRule="atLeast"/>
        <w:rPr>
          <w:lang w:eastAsia="en-AU" w:bidi="ar-SA"/>
        </w:rPr>
      </w:pPr>
      <w:r w:rsidRPr="005A6456">
        <w:rPr>
          <w:i/>
          <w:lang w:eastAsia="en-AU" w:bidi="ar-SA"/>
        </w:rPr>
        <w:t>Aspergillus nishimurae</w:t>
      </w:r>
    </w:p>
    <w:p w14:paraId="602F6763" w14:textId="59D10215" w:rsidR="00CA3849" w:rsidRDefault="00CA3849" w:rsidP="00CA3849">
      <w:pPr>
        <w:spacing w:line="20" w:lineRule="atLeast"/>
        <w:rPr>
          <w:lang w:eastAsia="en-AU" w:bidi="ar-SA"/>
        </w:rPr>
      </w:pPr>
    </w:p>
    <w:p w14:paraId="1215BBD9" w14:textId="1FBE85A6" w:rsidR="00513335" w:rsidRPr="002518B9" w:rsidRDefault="00513335" w:rsidP="00513335">
      <w:pPr>
        <w:pStyle w:val="Default"/>
        <w:rPr>
          <w:rFonts w:ascii="Arial" w:hAnsi="Arial" w:cs="Arial"/>
          <w:color w:val="000000" w:themeColor="text1"/>
          <w:sz w:val="22"/>
          <w:szCs w:val="22"/>
        </w:rPr>
      </w:pPr>
      <w:r w:rsidRPr="002518B9">
        <w:rPr>
          <w:rFonts w:ascii="Arial" w:hAnsi="Arial" w:cs="Arial"/>
          <w:color w:val="000000" w:themeColor="text1"/>
          <w:sz w:val="22"/>
          <w:szCs w:val="22"/>
        </w:rPr>
        <w:t xml:space="preserve">The gene sequence for the lysophospholipase enzyme was based on the gene from </w:t>
      </w:r>
      <w:r w:rsidR="00D94D0E">
        <w:rPr>
          <w:rFonts w:ascii="Arial" w:hAnsi="Arial" w:cs="Arial"/>
          <w:i/>
          <w:color w:val="000000" w:themeColor="text1"/>
          <w:sz w:val="22"/>
          <w:szCs w:val="22"/>
        </w:rPr>
        <w:t>A. </w:t>
      </w:r>
      <w:r w:rsidRPr="00961493">
        <w:rPr>
          <w:rFonts w:ascii="Arial" w:hAnsi="Arial" w:cs="Arial"/>
          <w:i/>
          <w:color w:val="000000" w:themeColor="text1"/>
          <w:sz w:val="22"/>
          <w:szCs w:val="22"/>
        </w:rPr>
        <w:t>nishimurae</w:t>
      </w:r>
      <w:r w:rsidRPr="002518B9">
        <w:rPr>
          <w:rFonts w:ascii="Arial" w:hAnsi="Arial" w:cs="Arial"/>
          <w:color w:val="000000" w:themeColor="text1"/>
          <w:sz w:val="22"/>
          <w:szCs w:val="22"/>
        </w:rPr>
        <w:t xml:space="preserve"> (strain RH3949).</w:t>
      </w:r>
      <w:r>
        <w:rPr>
          <w:rFonts w:ascii="Arial" w:hAnsi="Arial" w:cs="Arial"/>
          <w:color w:val="000000" w:themeColor="text1"/>
          <w:sz w:val="22"/>
          <w:szCs w:val="22"/>
        </w:rPr>
        <w:t xml:space="preserve"> This organism is a</w:t>
      </w:r>
      <w:r w:rsidRPr="002518B9">
        <w:rPr>
          <w:rFonts w:ascii="Arial" w:hAnsi="Arial" w:cs="Arial"/>
          <w:color w:val="000000" w:themeColor="text1"/>
          <w:sz w:val="22"/>
          <w:szCs w:val="22"/>
        </w:rPr>
        <w:t xml:space="preserve"> </w:t>
      </w:r>
      <w:r>
        <w:rPr>
          <w:rFonts w:ascii="Arial" w:hAnsi="Arial" w:cs="Arial"/>
          <w:color w:val="000000" w:themeColor="text1"/>
          <w:sz w:val="22"/>
          <w:szCs w:val="22"/>
        </w:rPr>
        <w:t>filamentous fungus</w:t>
      </w:r>
      <w:r w:rsidRPr="002518B9">
        <w:rPr>
          <w:rFonts w:ascii="Arial" w:hAnsi="Arial" w:cs="Arial"/>
          <w:color w:val="000000" w:themeColor="text1"/>
          <w:sz w:val="22"/>
          <w:szCs w:val="22"/>
        </w:rPr>
        <w:t xml:space="preserve">, </w:t>
      </w:r>
      <w:r>
        <w:rPr>
          <w:rFonts w:ascii="Arial" w:hAnsi="Arial" w:cs="Arial"/>
          <w:color w:val="000000" w:themeColor="text1"/>
          <w:sz w:val="22"/>
          <w:szCs w:val="22"/>
        </w:rPr>
        <w:t xml:space="preserve">commonly found </w:t>
      </w:r>
      <w:r w:rsidRPr="002518B9">
        <w:rPr>
          <w:rFonts w:ascii="Arial" w:hAnsi="Arial" w:cs="Arial"/>
          <w:color w:val="000000" w:themeColor="text1"/>
          <w:sz w:val="22"/>
          <w:szCs w:val="22"/>
        </w:rPr>
        <w:t>in soil</w:t>
      </w:r>
      <w:r>
        <w:rPr>
          <w:rFonts w:ascii="Arial" w:hAnsi="Arial" w:cs="Arial"/>
          <w:color w:val="000000" w:themeColor="text1"/>
          <w:sz w:val="22"/>
          <w:szCs w:val="22"/>
        </w:rPr>
        <w:t xml:space="preserve"> (Takada et al. 2001; Hosoe et al. 2011)</w:t>
      </w:r>
      <w:r w:rsidRPr="002518B9">
        <w:rPr>
          <w:rFonts w:ascii="Arial" w:hAnsi="Arial" w:cs="Arial"/>
          <w:color w:val="000000" w:themeColor="text1"/>
          <w:sz w:val="22"/>
          <w:szCs w:val="22"/>
        </w:rPr>
        <w:t>.</w:t>
      </w:r>
      <w:r>
        <w:rPr>
          <w:rFonts w:ascii="Arial" w:hAnsi="Arial" w:cs="Arial"/>
          <w:color w:val="000000" w:themeColor="text1"/>
          <w:sz w:val="22"/>
          <w:szCs w:val="22"/>
        </w:rPr>
        <w:t xml:space="preserve"> There is limited documentation on the toxicity or pathogenicity of this fungus. However, a</w:t>
      </w:r>
      <w:r w:rsidRPr="002518B9">
        <w:rPr>
          <w:rFonts w:ascii="Arial" w:hAnsi="Arial" w:cs="Arial"/>
          <w:color w:val="000000" w:themeColor="text1"/>
          <w:sz w:val="22"/>
          <w:szCs w:val="22"/>
        </w:rPr>
        <w:t xml:space="preserve">s the gene sequence </w:t>
      </w:r>
      <w:r>
        <w:rPr>
          <w:rFonts w:ascii="Arial" w:hAnsi="Arial" w:cs="Arial"/>
          <w:color w:val="000000" w:themeColor="text1"/>
          <w:sz w:val="22"/>
          <w:szCs w:val="22"/>
        </w:rPr>
        <w:t>for l</w:t>
      </w:r>
      <w:r w:rsidRPr="002518B9">
        <w:rPr>
          <w:rFonts w:ascii="Arial" w:hAnsi="Arial" w:cs="Arial"/>
          <w:color w:val="000000" w:themeColor="text1"/>
          <w:sz w:val="22"/>
          <w:szCs w:val="22"/>
        </w:rPr>
        <w:t>ysophospholipase</w:t>
      </w:r>
      <w:r>
        <w:rPr>
          <w:rFonts w:ascii="Arial" w:hAnsi="Arial" w:cs="Arial"/>
          <w:color w:val="000000" w:themeColor="text1"/>
          <w:sz w:val="22"/>
          <w:szCs w:val="22"/>
        </w:rPr>
        <w:t xml:space="preserve"> </w:t>
      </w:r>
      <w:r w:rsidRPr="002518B9">
        <w:rPr>
          <w:rFonts w:ascii="Arial" w:hAnsi="Arial" w:cs="Arial"/>
          <w:color w:val="000000" w:themeColor="text1"/>
          <w:sz w:val="22"/>
          <w:szCs w:val="22"/>
        </w:rPr>
        <w:t xml:space="preserve">has been manipulated through standard DNA cloning methods subsequent to the original isolation from the donor organism, extraneous material from </w:t>
      </w:r>
      <w:r w:rsidRPr="00B0128D">
        <w:rPr>
          <w:rFonts w:ascii="Arial" w:hAnsi="Arial" w:cs="Arial"/>
          <w:i/>
          <w:color w:val="000000" w:themeColor="text1"/>
          <w:sz w:val="22"/>
          <w:szCs w:val="22"/>
        </w:rPr>
        <w:t>A. nishimurae</w:t>
      </w:r>
      <w:r w:rsidRPr="002518B9">
        <w:rPr>
          <w:rFonts w:ascii="Arial" w:hAnsi="Arial" w:cs="Arial"/>
          <w:color w:val="000000" w:themeColor="text1"/>
          <w:sz w:val="22"/>
          <w:szCs w:val="22"/>
        </w:rPr>
        <w:t xml:space="preserve"> would not be carried across to the enzyme production organism.</w:t>
      </w:r>
    </w:p>
    <w:p w14:paraId="159E1A82" w14:textId="77777777" w:rsidR="00CA3849" w:rsidRDefault="00CA3849" w:rsidP="00CA3849">
      <w:pPr>
        <w:spacing w:line="20" w:lineRule="atLeast"/>
        <w:rPr>
          <w:rFonts w:cs="Arial"/>
          <w:color w:val="000000" w:themeColor="text1"/>
        </w:rPr>
      </w:pPr>
    </w:p>
    <w:p w14:paraId="5A061FA0" w14:textId="77777777" w:rsidR="001E63FB" w:rsidRDefault="001E63FB" w:rsidP="001E63FB">
      <w:pPr>
        <w:spacing w:line="20" w:lineRule="atLeast"/>
        <w:rPr>
          <w:rFonts w:cs="Arial"/>
          <w:color w:val="000000" w:themeColor="text1"/>
        </w:rPr>
      </w:pPr>
      <w:r w:rsidRPr="004F42CE">
        <w:rPr>
          <w:rFonts w:cs="Arial"/>
          <w:i/>
          <w:color w:val="000000" w:themeColor="text1"/>
        </w:rPr>
        <w:t>Aspergillus nidulans</w:t>
      </w:r>
    </w:p>
    <w:p w14:paraId="37F815FE" w14:textId="77777777" w:rsidR="001E63FB" w:rsidRDefault="001E63FB" w:rsidP="001E63FB">
      <w:pPr>
        <w:spacing w:line="20" w:lineRule="atLeast"/>
        <w:rPr>
          <w:rFonts w:cs="Arial"/>
          <w:color w:val="000000" w:themeColor="text1"/>
        </w:rPr>
      </w:pPr>
    </w:p>
    <w:p w14:paraId="6D6BA306" w14:textId="274EF35F" w:rsidR="00CA3849" w:rsidRDefault="001E63FB" w:rsidP="001E63FB">
      <w:pPr>
        <w:spacing w:line="20" w:lineRule="atLeast"/>
        <w:rPr>
          <w:rFonts w:cs="Arial"/>
          <w:color w:val="000000" w:themeColor="text1"/>
        </w:rPr>
      </w:pPr>
      <w:r>
        <w:rPr>
          <w:rFonts w:cs="Arial"/>
          <w:color w:val="000000" w:themeColor="text1"/>
        </w:rPr>
        <w:t xml:space="preserve">The gene sequence for acetamidase, used as the selection marker for positive transformants, was initially isolated from </w:t>
      </w:r>
      <w:r w:rsidRPr="008156E7">
        <w:rPr>
          <w:rFonts w:cs="Arial"/>
          <w:i/>
          <w:color w:val="000000" w:themeColor="text1"/>
        </w:rPr>
        <w:t>Aspergillus nidulans</w:t>
      </w:r>
      <w:r w:rsidR="00687902">
        <w:rPr>
          <w:rFonts w:cs="Arial"/>
          <w:color w:val="000000" w:themeColor="text1"/>
        </w:rPr>
        <w:t xml:space="preserve"> (Kelly and Hynes,</w:t>
      </w:r>
      <w:r w:rsidR="00E41D8B">
        <w:rPr>
          <w:rFonts w:cs="Arial"/>
          <w:color w:val="000000" w:themeColor="text1"/>
        </w:rPr>
        <w:t xml:space="preserve"> </w:t>
      </w:r>
      <w:r>
        <w:rPr>
          <w:rFonts w:cs="Arial"/>
          <w:color w:val="000000" w:themeColor="text1"/>
        </w:rPr>
        <w:t xml:space="preserve">1985). The majority of </w:t>
      </w:r>
      <w:r w:rsidRPr="008156E7">
        <w:rPr>
          <w:rFonts w:cs="Arial"/>
          <w:i/>
          <w:color w:val="000000" w:themeColor="text1"/>
        </w:rPr>
        <w:t>A. nidulans</w:t>
      </w:r>
      <w:r>
        <w:rPr>
          <w:rFonts w:cs="Arial"/>
          <w:color w:val="000000" w:themeColor="text1"/>
        </w:rPr>
        <w:t xml:space="preserve"> strains have been classed at the Biosafety Level 1, however some strains have been associated with opportunistic infections in immunocompromised individuals (Gabrielli et al, 2014; Henriet et al. 2012). As the gene sequence has been manipulated through standard DNA cloning methods subsequent to the original isolation from the donor organism, extraneous material from </w:t>
      </w:r>
      <w:r w:rsidRPr="008156E7">
        <w:rPr>
          <w:rFonts w:cs="Arial"/>
          <w:i/>
          <w:color w:val="000000" w:themeColor="text1"/>
        </w:rPr>
        <w:t>A. nidulans</w:t>
      </w:r>
      <w:r>
        <w:rPr>
          <w:rFonts w:cs="Arial"/>
          <w:color w:val="000000" w:themeColor="text1"/>
        </w:rPr>
        <w:t xml:space="preserve"> would not be carried across to the enzyme production organism.</w:t>
      </w:r>
    </w:p>
    <w:p w14:paraId="59709545" w14:textId="1AFF5A7A" w:rsidR="00CA3849" w:rsidRPr="00D67005" w:rsidRDefault="00CA3849" w:rsidP="001E6A7B">
      <w:pPr>
        <w:pStyle w:val="Heading2"/>
      </w:pPr>
      <w:bookmarkStart w:id="38" w:name="_Toc499282443"/>
      <w:bookmarkStart w:id="39" w:name="_Toc505255640"/>
      <w:bookmarkStart w:id="40" w:name="_Toc528851094"/>
      <w:r>
        <w:t>3.</w:t>
      </w:r>
      <w:r w:rsidR="00A07714">
        <w:t>2</w:t>
      </w:r>
      <w:r w:rsidR="001E6A7B">
        <w:tab/>
      </w:r>
      <w:r>
        <w:t>Characterisation of the genetic modification(s)</w:t>
      </w:r>
      <w:bookmarkEnd w:id="38"/>
      <w:bookmarkEnd w:id="39"/>
      <w:bookmarkEnd w:id="40"/>
    </w:p>
    <w:p w14:paraId="4F1B6BFB" w14:textId="31C684A9" w:rsidR="00CA3849" w:rsidRDefault="00CA3849" w:rsidP="001E6A7B">
      <w:pPr>
        <w:pStyle w:val="Heading3"/>
      </w:pPr>
      <w:bookmarkStart w:id="41" w:name="_Toc498940971"/>
      <w:bookmarkStart w:id="42" w:name="_Toc499282444"/>
      <w:bookmarkStart w:id="43" w:name="_Toc528851095"/>
      <w:r>
        <w:t>3.</w:t>
      </w:r>
      <w:r w:rsidR="00A07714">
        <w:t>2</w:t>
      </w:r>
      <w:r>
        <w:t>.1</w:t>
      </w:r>
      <w:r w:rsidR="0035149D">
        <w:tab/>
      </w:r>
      <w:r>
        <w:t>Description of DNA to be introduced and method of transformation</w:t>
      </w:r>
      <w:bookmarkEnd w:id="41"/>
      <w:bookmarkEnd w:id="42"/>
      <w:bookmarkEnd w:id="43"/>
      <w:r>
        <w:t xml:space="preserve"> </w:t>
      </w:r>
    </w:p>
    <w:p w14:paraId="6A0A55F2" w14:textId="4E968E41" w:rsidR="00CA3849" w:rsidRDefault="00CA3849" w:rsidP="00CA3849">
      <w:pPr>
        <w:autoSpaceDE w:val="0"/>
        <w:autoSpaceDN w:val="0"/>
        <w:adjustRightInd w:val="0"/>
        <w:rPr>
          <w:rFonts w:cs="Arial"/>
          <w:color w:val="000000" w:themeColor="text1"/>
        </w:rPr>
      </w:pPr>
      <w:r w:rsidRPr="00D26352">
        <w:rPr>
          <w:rFonts w:cs="Arial"/>
          <w:i/>
          <w:color w:val="000000" w:themeColor="text1"/>
        </w:rPr>
        <w:t>T. reesei</w:t>
      </w:r>
      <w:r w:rsidRPr="00D26352">
        <w:rPr>
          <w:rFonts w:cs="Arial"/>
          <w:color w:val="000000" w:themeColor="text1"/>
        </w:rPr>
        <w:t xml:space="preserve"> strain </w:t>
      </w:r>
      <w:r>
        <w:rPr>
          <w:rFonts w:cs="Arial"/>
          <w:color w:val="000000" w:themeColor="text1"/>
        </w:rPr>
        <w:t>RF7206</w:t>
      </w:r>
      <w:r w:rsidRPr="00D26352">
        <w:rPr>
          <w:rFonts w:cs="Arial"/>
          <w:color w:val="000000" w:themeColor="text1"/>
        </w:rPr>
        <w:t xml:space="preserve"> was </w:t>
      </w:r>
      <w:r>
        <w:rPr>
          <w:rFonts w:cs="Arial"/>
          <w:color w:val="000000" w:themeColor="text1"/>
        </w:rPr>
        <w:t>produced</w:t>
      </w:r>
      <w:r w:rsidRPr="00D26352">
        <w:rPr>
          <w:rFonts w:cs="Arial"/>
          <w:color w:val="000000" w:themeColor="text1"/>
        </w:rPr>
        <w:t xml:space="preserve"> by a protoplast-mediated transformation procedure, using protoplasts prepared from </w:t>
      </w:r>
      <w:r w:rsidRPr="00B440B7">
        <w:rPr>
          <w:rFonts w:cs="Arial"/>
          <w:color w:val="000000" w:themeColor="text1"/>
        </w:rPr>
        <w:t>mycelia (Penttilä et al, 1987; Karhunen et al, 1993). A</w:t>
      </w:r>
      <w:r w:rsidRPr="00A30354">
        <w:rPr>
          <w:rFonts w:cs="Arial"/>
          <w:color w:val="000000" w:themeColor="text1"/>
        </w:rPr>
        <w:t xml:space="preserve"> purified </w:t>
      </w:r>
      <w:r w:rsidRPr="009C1088">
        <w:rPr>
          <w:rFonts w:cs="Arial"/>
          <w:color w:val="000000" w:themeColor="text1"/>
        </w:rPr>
        <w:t>linear</w:t>
      </w:r>
      <w:r w:rsidRPr="00A30354">
        <w:rPr>
          <w:rFonts w:cs="Arial"/>
          <w:color w:val="000000" w:themeColor="text1"/>
        </w:rPr>
        <w:t xml:space="preserve"> DNA fragment (i.e. free from any vector-derived sequences)</w:t>
      </w:r>
      <w:r>
        <w:rPr>
          <w:rFonts w:cs="Arial"/>
          <w:color w:val="000000" w:themeColor="text1"/>
        </w:rPr>
        <w:t xml:space="preserve"> isolated from a plasmid and containing two coding regions</w:t>
      </w:r>
      <w:r w:rsidRPr="00A30354">
        <w:rPr>
          <w:rFonts w:cs="Arial"/>
          <w:color w:val="000000" w:themeColor="text1"/>
        </w:rPr>
        <w:t xml:space="preserve"> was included in the transformation mix to create the production strain. </w:t>
      </w:r>
      <w:r>
        <w:rPr>
          <w:rFonts w:cs="Arial"/>
          <w:color w:val="000000" w:themeColor="text1"/>
        </w:rPr>
        <w:t>The</w:t>
      </w:r>
      <w:r w:rsidRPr="00A30354">
        <w:rPr>
          <w:rFonts w:cs="Arial"/>
          <w:color w:val="000000" w:themeColor="text1"/>
        </w:rPr>
        <w:t xml:space="preserve"> </w:t>
      </w:r>
      <w:r>
        <w:rPr>
          <w:rFonts w:cs="Arial"/>
          <w:color w:val="000000" w:themeColor="text1"/>
        </w:rPr>
        <w:t>first coding region, driven by a single,</w:t>
      </w:r>
      <w:r w:rsidRPr="00A30354">
        <w:rPr>
          <w:rFonts w:cs="Arial"/>
          <w:color w:val="000000" w:themeColor="text1"/>
        </w:rPr>
        <w:t xml:space="preserve"> </w:t>
      </w:r>
      <w:r>
        <w:rPr>
          <w:rFonts w:cs="Arial"/>
          <w:color w:val="000000" w:themeColor="text1"/>
        </w:rPr>
        <w:t xml:space="preserve">strong </w:t>
      </w:r>
      <w:r w:rsidRPr="00A30354">
        <w:rPr>
          <w:rFonts w:cs="Arial"/>
          <w:color w:val="000000" w:themeColor="text1"/>
        </w:rPr>
        <w:t xml:space="preserve">native </w:t>
      </w:r>
      <w:r>
        <w:rPr>
          <w:rFonts w:cs="Arial"/>
          <w:color w:val="000000" w:themeColor="text1"/>
        </w:rPr>
        <w:t>(</w:t>
      </w:r>
      <w:r w:rsidRPr="00A30354">
        <w:rPr>
          <w:rFonts w:cs="Arial"/>
          <w:i/>
          <w:color w:val="000000" w:themeColor="text1"/>
        </w:rPr>
        <w:t>T. reesei</w:t>
      </w:r>
      <w:r>
        <w:rPr>
          <w:rFonts w:cs="Arial"/>
          <w:color w:val="000000" w:themeColor="text1"/>
        </w:rPr>
        <w:t xml:space="preserve">) </w:t>
      </w:r>
      <w:r w:rsidRPr="00A30354">
        <w:rPr>
          <w:rFonts w:cs="Arial"/>
          <w:color w:val="000000" w:themeColor="text1"/>
        </w:rPr>
        <w:t>promoter</w:t>
      </w:r>
      <w:r>
        <w:rPr>
          <w:rFonts w:cs="Arial"/>
          <w:color w:val="000000" w:themeColor="text1"/>
        </w:rPr>
        <w:t xml:space="preserve">, </w:t>
      </w:r>
      <w:r w:rsidRPr="00A30354">
        <w:rPr>
          <w:rFonts w:cs="Arial"/>
          <w:color w:val="000000" w:themeColor="text1"/>
        </w:rPr>
        <w:t xml:space="preserve">contained the </w:t>
      </w:r>
      <w:r w:rsidRPr="00A30354">
        <w:rPr>
          <w:rFonts w:cs="Arial"/>
          <w:i/>
          <w:color w:val="000000" w:themeColor="text1"/>
        </w:rPr>
        <w:t>lpl</w:t>
      </w:r>
      <w:r w:rsidRPr="00A30354">
        <w:rPr>
          <w:rFonts w:cs="Arial"/>
          <w:color w:val="000000" w:themeColor="text1"/>
        </w:rPr>
        <w:t xml:space="preserve"> gene from </w:t>
      </w:r>
      <w:r w:rsidRPr="00A30354">
        <w:rPr>
          <w:rFonts w:cs="Arial"/>
          <w:i/>
          <w:color w:val="000000" w:themeColor="text1"/>
        </w:rPr>
        <w:t>A. nishimurae</w:t>
      </w:r>
      <w:r w:rsidRPr="00A30354">
        <w:rPr>
          <w:rFonts w:cs="Arial"/>
          <w:color w:val="000000" w:themeColor="text1"/>
        </w:rPr>
        <w:t xml:space="preserve"> </w:t>
      </w:r>
      <w:r>
        <w:rPr>
          <w:rFonts w:cs="Arial"/>
          <w:color w:val="000000" w:themeColor="text1"/>
        </w:rPr>
        <w:t xml:space="preserve">with a native </w:t>
      </w:r>
      <w:r w:rsidRPr="00E40C79">
        <w:rPr>
          <w:rFonts w:cs="Arial"/>
          <w:i/>
          <w:color w:val="000000" w:themeColor="text1"/>
        </w:rPr>
        <w:t>T.</w:t>
      </w:r>
      <w:r w:rsidR="009F4AFD">
        <w:rPr>
          <w:rFonts w:cs="Arial"/>
          <w:i/>
          <w:color w:val="000000" w:themeColor="text1"/>
        </w:rPr>
        <w:t xml:space="preserve"> </w:t>
      </w:r>
      <w:r w:rsidRPr="00E40C79">
        <w:rPr>
          <w:rFonts w:cs="Arial"/>
          <w:i/>
          <w:color w:val="000000" w:themeColor="text1"/>
        </w:rPr>
        <w:t>reesei</w:t>
      </w:r>
      <w:r>
        <w:rPr>
          <w:rFonts w:cs="Arial"/>
          <w:color w:val="000000" w:themeColor="text1"/>
        </w:rPr>
        <w:t xml:space="preserve"> terminator. The second coding region comprised </w:t>
      </w:r>
      <w:r w:rsidRPr="00041E8F">
        <w:rPr>
          <w:rFonts w:cs="Arial"/>
          <w:color w:val="000000" w:themeColor="text1"/>
        </w:rPr>
        <w:t>the acetamidase gene (</w:t>
      </w:r>
      <w:r w:rsidRPr="00041E8F">
        <w:rPr>
          <w:rFonts w:cs="Arial"/>
          <w:i/>
          <w:color w:val="000000" w:themeColor="text1"/>
        </w:rPr>
        <w:t>amdS)</w:t>
      </w:r>
      <w:r w:rsidRPr="00041E8F">
        <w:rPr>
          <w:rFonts w:cs="Arial"/>
          <w:color w:val="000000" w:themeColor="text1"/>
        </w:rPr>
        <w:t xml:space="preserve"> from</w:t>
      </w:r>
      <w:r w:rsidRPr="00041E8F">
        <w:rPr>
          <w:rFonts w:cs="Arial"/>
          <w:i/>
          <w:color w:val="000000" w:themeColor="text1"/>
        </w:rPr>
        <w:t xml:space="preserve"> A. nidulans</w:t>
      </w:r>
      <w:r>
        <w:rPr>
          <w:rFonts w:cs="Arial"/>
          <w:i/>
          <w:color w:val="000000" w:themeColor="text1"/>
        </w:rPr>
        <w:t xml:space="preserve"> </w:t>
      </w:r>
      <w:r>
        <w:rPr>
          <w:rFonts w:cs="Arial"/>
          <w:color w:val="000000" w:themeColor="text1"/>
        </w:rPr>
        <w:t xml:space="preserve">with its own </w:t>
      </w:r>
      <w:r w:rsidRPr="00B440B7">
        <w:rPr>
          <w:rFonts w:cs="Arial"/>
          <w:color w:val="000000" w:themeColor="text1"/>
        </w:rPr>
        <w:t xml:space="preserve">promoter (Kelly and Hynes, </w:t>
      </w:r>
      <w:r w:rsidRPr="00B440B7">
        <w:rPr>
          <w:rFonts w:cs="Arial"/>
          <w:color w:val="000000" w:themeColor="text1"/>
        </w:rPr>
        <w:lastRenderedPageBreak/>
        <w:t>1985),</w:t>
      </w:r>
      <w:r>
        <w:rPr>
          <w:rFonts w:cs="Arial"/>
          <w:color w:val="000000" w:themeColor="text1"/>
        </w:rPr>
        <w:t xml:space="preserve"> a 3’ flanking region from </w:t>
      </w:r>
      <w:r w:rsidRPr="00687902">
        <w:rPr>
          <w:rFonts w:cs="Arial"/>
          <w:i/>
          <w:color w:val="000000" w:themeColor="text1"/>
        </w:rPr>
        <w:t>T. reesei</w:t>
      </w:r>
      <w:r>
        <w:rPr>
          <w:rFonts w:cs="Arial"/>
          <w:color w:val="000000" w:themeColor="text1"/>
        </w:rPr>
        <w:t xml:space="preserve"> to facilitate targeting to a specific locus in </w:t>
      </w:r>
      <w:r w:rsidRPr="00C53B5E">
        <w:rPr>
          <w:rFonts w:cs="Arial"/>
          <w:i/>
          <w:color w:val="000000" w:themeColor="text1"/>
        </w:rPr>
        <w:t>T. reesei</w:t>
      </w:r>
      <w:r>
        <w:rPr>
          <w:rFonts w:cs="Arial"/>
          <w:color w:val="000000" w:themeColor="text1"/>
        </w:rPr>
        <w:t xml:space="preserve">, and a </w:t>
      </w:r>
      <w:r w:rsidRPr="00E40C79">
        <w:rPr>
          <w:rFonts w:cs="Arial"/>
          <w:i/>
          <w:color w:val="000000" w:themeColor="text1"/>
        </w:rPr>
        <w:t>T.</w:t>
      </w:r>
      <w:r w:rsidR="006C1414">
        <w:rPr>
          <w:rFonts w:cs="Arial"/>
          <w:i/>
          <w:color w:val="000000" w:themeColor="text1"/>
        </w:rPr>
        <w:t xml:space="preserve"> </w:t>
      </w:r>
      <w:r w:rsidRPr="00E40C79">
        <w:rPr>
          <w:rFonts w:cs="Arial"/>
          <w:i/>
          <w:color w:val="000000" w:themeColor="text1"/>
        </w:rPr>
        <w:t>reesei</w:t>
      </w:r>
      <w:r>
        <w:rPr>
          <w:rFonts w:cs="Arial"/>
          <w:color w:val="000000" w:themeColor="text1"/>
        </w:rPr>
        <w:t xml:space="preserve"> terminator</w:t>
      </w:r>
      <w:r w:rsidRPr="00A30354">
        <w:rPr>
          <w:rFonts w:cs="Arial"/>
          <w:color w:val="000000" w:themeColor="text1"/>
        </w:rPr>
        <w:t xml:space="preserve">. </w:t>
      </w:r>
      <w:r w:rsidRPr="00041E8F">
        <w:rPr>
          <w:rFonts w:cs="Arial"/>
          <w:color w:val="000000" w:themeColor="text1"/>
        </w:rPr>
        <w:t xml:space="preserve">This </w:t>
      </w:r>
      <w:r>
        <w:rPr>
          <w:rFonts w:cs="Arial"/>
          <w:color w:val="000000" w:themeColor="text1"/>
        </w:rPr>
        <w:t>second gene allows</w:t>
      </w:r>
      <w:r w:rsidRPr="00041E8F">
        <w:rPr>
          <w:rFonts w:cs="Arial"/>
          <w:color w:val="000000" w:themeColor="text1"/>
        </w:rPr>
        <w:t xml:space="preserve"> for selection of transformants on acet</w:t>
      </w:r>
      <w:r>
        <w:rPr>
          <w:rFonts w:cs="Arial"/>
          <w:color w:val="000000" w:themeColor="text1"/>
        </w:rPr>
        <w:t>amide-containing media and has been widely used as a selection marker in fungal transformations in the past.</w:t>
      </w:r>
    </w:p>
    <w:p w14:paraId="299015FC" w14:textId="77777777" w:rsidR="00CA3849" w:rsidRDefault="00CA3849" w:rsidP="00CA3849">
      <w:pPr>
        <w:autoSpaceDE w:val="0"/>
        <w:autoSpaceDN w:val="0"/>
        <w:adjustRightInd w:val="0"/>
        <w:rPr>
          <w:rFonts w:cs="Arial"/>
          <w:color w:val="000000" w:themeColor="text1"/>
        </w:rPr>
      </w:pPr>
    </w:p>
    <w:p w14:paraId="17A81BB2" w14:textId="77777777" w:rsidR="00CA3849" w:rsidRPr="00041E8F" w:rsidRDefault="00CA3849" w:rsidP="00CA3849">
      <w:pPr>
        <w:autoSpaceDE w:val="0"/>
        <w:autoSpaceDN w:val="0"/>
        <w:adjustRightInd w:val="0"/>
        <w:rPr>
          <w:rFonts w:cs="Arial"/>
          <w:color w:val="000000" w:themeColor="text1"/>
        </w:rPr>
      </w:pPr>
      <w:r>
        <w:rPr>
          <w:rFonts w:cs="Arial"/>
          <w:color w:val="000000" w:themeColor="text1"/>
        </w:rPr>
        <w:t>The parental strain does not contain genes with antibiotic activities and no antibiotic resistance genes have been incorporated during transformation.</w:t>
      </w:r>
    </w:p>
    <w:p w14:paraId="273B4984" w14:textId="09DEAB12" w:rsidR="00CA3849" w:rsidRDefault="00CA3849" w:rsidP="001E6A7B">
      <w:pPr>
        <w:pStyle w:val="Heading3"/>
      </w:pPr>
      <w:bookmarkStart w:id="44" w:name="_Toc498940972"/>
      <w:bookmarkStart w:id="45" w:name="_Toc499282445"/>
      <w:bookmarkStart w:id="46" w:name="_Toc528851096"/>
      <w:r>
        <w:t>3.</w:t>
      </w:r>
      <w:r w:rsidR="00A07714">
        <w:t>2</w:t>
      </w:r>
      <w:r>
        <w:t>.2</w:t>
      </w:r>
      <w:r w:rsidR="0035149D">
        <w:tab/>
      </w:r>
      <w:r>
        <w:t>Characterisation of inserted DNA</w:t>
      </w:r>
      <w:bookmarkEnd w:id="44"/>
      <w:bookmarkEnd w:id="45"/>
      <w:bookmarkEnd w:id="46"/>
    </w:p>
    <w:p w14:paraId="28801C3B" w14:textId="43E7A6C3" w:rsidR="00CA3849" w:rsidRPr="00F92082" w:rsidRDefault="00CA3849" w:rsidP="00CA3849">
      <w:pPr>
        <w:rPr>
          <w:rFonts w:cs="Arial"/>
          <w:color w:val="000000" w:themeColor="text1"/>
        </w:rPr>
      </w:pPr>
      <w:bookmarkStart w:id="47" w:name="_Toc498940973"/>
      <w:r>
        <w:rPr>
          <w:rFonts w:cs="Arial"/>
          <w:color w:val="000000" w:themeColor="text1"/>
        </w:rPr>
        <w:t>Southern blotting was performed on genomic DNA extracted from the production and parental host strain. DNA samples were digested separately with two appropriate restriction enzymes</w:t>
      </w:r>
      <w:r w:rsidR="006F78E3">
        <w:rPr>
          <w:rFonts w:cs="Arial"/>
          <w:color w:val="000000" w:themeColor="text1"/>
        </w:rPr>
        <w:t>,</w:t>
      </w:r>
      <w:r>
        <w:rPr>
          <w:rFonts w:cs="Arial"/>
          <w:color w:val="000000" w:themeColor="text1"/>
        </w:rPr>
        <w:t xml:space="preserve"> and hybridisation was performed with a probe that encompassed the complete expression cassette introduced into the production strain. The resulting hybridisation bands in the production strain DNA showed that at least one complete insert has been integrated into the host’s genome. As expected, because of the presence of the native regulatory elements in the parental strain, some hybridisation bands were also observed in the parental strain DNA.</w:t>
      </w:r>
    </w:p>
    <w:p w14:paraId="55C7BDA7" w14:textId="3DDB905F" w:rsidR="00CA3849" w:rsidRDefault="0035149D" w:rsidP="001E6A7B">
      <w:pPr>
        <w:pStyle w:val="Heading3"/>
      </w:pPr>
      <w:bookmarkStart w:id="48" w:name="_Toc499282446"/>
      <w:bookmarkStart w:id="49" w:name="_Toc528851097"/>
      <w:r>
        <w:t>3.</w:t>
      </w:r>
      <w:r w:rsidR="00A07714">
        <w:t>2</w:t>
      </w:r>
      <w:r>
        <w:t>.3</w:t>
      </w:r>
      <w:r>
        <w:tab/>
      </w:r>
      <w:r w:rsidR="00CA3849">
        <w:t>Genetic stability of the inserted gene</w:t>
      </w:r>
      <w:bookmarkEnd w:id="47"/>
      <w:bookmarkEnd w:id="48"/>
      <w:bookmarkEnd w:id="49"/>
    </w:p>
    <w:p w14:paraId="6AC38EAD" w14:textId="77777777" w:rsidR="00CA3849" w:rsidRDefault="00CA3849" w:rsidP="00CA3849">
      <w:pPr>
        <w:rPr>
          <w:rFonts w:cs="Arial"/>
          <w:color w:val="000000" w:themeColor="text1"/>
        </w:rPr>
      </w:pPr>
      <w:r w:rsidRPr="00490327">
        <w:rPr>
          <w:rFonts w:cs="Arial"/>
          <w:i/>
          <w:color w:val="000000" w:themeColor="text1"/>
        </w:rPr>
        <w:t>T. reesei</w:t>
      </w:r>
      <w:r>
        <w:rPr>
          <w:rFonts w:cs="Arial"/>
          <w:color w:val="000000" w:themeColor="text1"/>
        </w:rPr>
        <w:t xml:space="preserve"> strains in general, are widely used in biotechnological processes because of their known stability.</w:t>
      </w:r>
    </w:p>
    <w:p w14:paraId="6B4568F9" w14:textId="77777777" w:rsidR="00CA3849" w:rsidRDefault="00CA3849" w:rsidP="00CA3849">
      <w:pPr>
        <w:rPr>
          <w:rFonts w:cs="Arial"/>
          <w:color w:val="000000" w:themeColor="text1"/>
        </w:rPr>
      </w:pPr>
    </w:p>
    <w:p w14:paraId="60D90866" w14:textId="4D851302" w:rsidR="00CA3849" w:rsidRDefault="00CA3849" w:rsidP="00CA3849">
      <w:pPr>
        <w:rPr>
          <w:rFonts w:cs="Arial"/>
          <w:color w:val="000000" w:themeColor="text1"/>
        </w:rPr>
      </w:pPr>
      <w:r>
        <w:rPr>
          <w:rFonts w:cs="Arial"/>
          <w:color w:val="000000" w:themeColor="text1"/>
        </w:rPr>
        <w:t xml:space="preserve">Southern blotting was performed on genomic DNA extracted from spores of RF7206 grown without acetamide on potato dextrose agar over 10 generations. The DNA samples were digested with one of the restriction enzymes used for the characterisation described in </w:t>
      </w:r>
      <w:r w:rsidR="007B70AE">
        <w:rPr>
          <w:rFonts w:cs="Arial"/>
          <w:color w:val="000000" w:themeColor="text1"/>
        </w:rPr>
        <w:t>s</w:t>
      </w:r>
      <w:r>
        <w:rPr>
          <w:rFonts w:cs="Arial"/>
          <w:color w:val="000000" w:themeColor="text1"/>
        </w:rPr>
        <w:t>ection 3.</w:t>
      </w:r>
      <w:r w:rsidR="007B70AE">
        <w:rPr>
          <w:rFonts w:cs="Arial"/>
          <w:color w:val="000000" w:themeColor="text1"/>
        </w:rPr>
        <w:t>2</w:t>
      </w:r>
      <w:r>
        <w:rPr>
          <w:rFonts w:cs="Arial"/>
          <w:color w:val="000000" w:themeColor="text1"/>
        </w:rPr>
        <w:t xml:space="preserve">.2 and hybridisation was performed with the same probe The results for the generations tested (1, 2, 3, 4, 5, 7, 10) were all similar as well as being similar to the equivalent Southern blot analysis discussed in </w:t>
      </w:r>
      <w:r w:rsidR="007B70AE">
        <w:rPr>
          <w:rFonts w:cs="Arial"/>
          <w:color w:val="000000" w:themeColor="text1"/>
        </w:rPr>
        <w:t>s</w:t>
      </w:r>
      <w:r>
        <w:rPr>
          <w:rFonts w:cs="Arial"/>
          <w:color w:val="000000" w:themeColor="text1"/>
        </w:rPr>
        <w:t>ection</w:t>
      </w:r>
      <w:r w:rsidR="007B70AE">
        <w:rPr>
          <w:rFonts w:cs="Arial"/>
          <w:color w:val="000000" w:themeColor="text1"/>
        </w:rPr>
        <w:t xml:space="preserve"> </w:t>
      </w:r>
      <w:r>
        <w:rPr>
          <w:rFonts w:cs="Arial"/>
          <w:color w:val="000000" w:themeColor="text1"/>
        </w:rPr>
        <w:t>3.</w:t>
      </w:r>
      <w:r w:rsidR="007B70AE">
        <w:rPr>
          <w:rFonts w:cs="Arial"/>
          <w:color w:val="000000" w:themeColor="text1"/>
        </w:rPr>
        <w:t>2</w:t>
      </w:r>
      <w:r>
        <w:rPr>
          <w:rFonts w:cs="Arial"/>
          <w:color w:val="000000" w:themeColor="text1"/>
        </w:rPr>
        <w:t xml:space="preserve">.2. This indicated that expression of the </w:t>
      </w:r>
      <w:r w:rsidRPr="00D441AF">
        <w:rPr>
          <w:rFonts w:cs="Arial"/>
          <w:i/>
          <w:color w:val="000000" w:themeColor="text1"/>
        </w:rPr>
        <w:t>lpl</w:t>
      </w:r>
      <w:r>
        <w:rPr>
          <w:rFonts w:cs="Arial"/>
          <w:color w:val="000000" w:themeColor="text1"/>
        </w:rPr>
        <w:t xml:space="preserve"> gene was consistent across generations. </w:t>
      </w:r>
    </w:p>
    <w:p w14:paraId="01241949" w14:textId="77777777" w:rsidR="00CA3849" w:rsidRDefault="00CA3849" w:rsidP="00CA3849">
      <w:pPr>
        <w:rPr>
          <w:rFonts w:cs="Arial"/>
          <w:color w:val="000000" w:themeColor="text1"/>
        </w:rPr>
      </w:pPr>
    </w:p>
    <w:p w14:paraId="60EAAC08" w14:textId="77777777" w:rsidR="00CA3849" w:rsidRPr="00F92082" w:rsidRDefault="00CA3849" w:rsidP="00CA3849">
      <w:pPr>
        <w:rPr>
          <w:rFonts w:cs="Arial"/>
          <w:color w:val="000000" w:themeColor="text1"/>
        </w:rPr>
      </w:pPr>
      <w:r>
        <w:rPr>
          <w:rFonts w:cs="Arial"/>
          <w:color w:val="000000" w:themeColor="text1"/>
        </w:rPr>
        <w:t>Phenotypic stability was confirmed by measurement of the same lysophospholipase activity across a number of fermentation batches.</w:t>
      </w:r>
    </w:p>
    <w:p w14:paraId="25D696AF" w14:textId="4F4FAF9F" w:rsidR="00CA3849" w:rsidRDefault="00CA3849" w:rsidP="001E6A7B">
      <w:pPr>
        <w:pStyle w:val="Heading2"/>
      </w:pPr>
      <w:bookmarkStart w:id="50" w:name="_Toc471740086"/>
      <w:bookmarkStart w:id="51" w:name="_Toc505255641"/>
      <w:bookmarkStart w:id="52" w:name="_Toc499282447"/>
      <w:bookmarkStart w:id="53" w:name="_Toc528851098"/>
      <w:r w:rsidRPr="00DD6B6A">
        <w:t>3.</w:t>
      </w:r>
      <w:r w:rsidR="00A07714">
        <w:t>3</w:t>
      </w:r>
      <w:r w:rsidR="001E6A7B">
        <w:tab/>
      </w:r>
      <w:r>
        <w:t xml:space="preserve">Safety of </w:t>
      </w:r>
      <w:bookmarkEnd w:id="50"/>
      <w:bookmarkEnd w:id="51"/>
      <w:bookmarkEnd w:id="52"/>
      <w:r>
        <w:t>lysophospholipase</w:t>
      </w:r>
      <w:bookmarkEnd w:id="53"/>
    </w:p>
    <w:p w14:paraId="345F8C78" w14:textId="77777777" w:rsidR="00CA3849" w:rsidRDefault="00CA3849" w:rsidP="00CA3849">
      <w:pPr>
        <w:rPr>
          <w:rFonts w:cs="Arial"/>
          <w:color w:val="000000" w:themeColor="text1"/>
          <w:szCs w:val="22"/>
        </w:rPr>
      </w:pPr>
      <w:r w:rsidRPr="006D1C1E">
        <w:rPr>
          <w:rFonts w:cs="Arial"/>
          <w:color w:val="000000" w:themeColor="text1"/>
          <w:szCs w:val="22"/>
        </w:rPr>
        <w:t>In considering the safety of novel proteins it is important to consider that a large and diverse range of proteins are ingested as part of the normal human diet without any adverse effects</w:t>
      </w:r>
      <w:r>
        <w:rPr>
          <w:rFonts w:cs="Arial"/>
          <w:color w:val="000000" w:themeColor="text1"/>
          <w:szCs w:val="22"/>
        </w:rPr>
        <w:t xml:space="preserve">. </w:t>
      </w:r>
    </w:p>
    <w:p w14:paraId="509CA9B7" w14:textId="03C860DF" w:rsidR="00CA3849" w:rsidRPr="00585EA4" w:rsidRDefault="00CA3849" w:rsidP="00CA3849">
      <w:pPr>
        <w:rPr>
          <w:rFonts w:cs="Arial"/>
          <w:color w:val="000000" w:themeColor="text1"/>
          <w:szCs w:val="22"/>
        </w:rPr>
      </w:pPr>
      <w:r w:rsidRPr="006D1C1E">
        <w:rPr>
          <w:rFonts w:cs="Arial"/>
          <w:color w:val="000000" w:themeColor="text1"/>
          <w:szCs w:val="22"/>
        </w:rPr>
        <w:t xml:space="preserve">Only a small number of dietary proteins have the potential to </w:t>
      </w:r>
      <w:r>
        <w:rPr>
          <w:rFonts w:cs="Arial"/>
          <w:color w:val="000000" w:themeColor="text1"/>
          <w:szCs w:val="22"/>
        </w:rPr>
        <w:t>cause adverse</w:t>
      </w:r>
      <w:r w:rsidRPr="006D1C1E">
        <w:rPr>
          <w:rFonts w:cs="Arial"/>
          <w:color w:val="000000" w:themeColor="text1"/>
          <w:szCs w:val="22"/>
        </w:rPr>
        <w:t xml:space="preserve"> health</w:t>
      </w:r>
      <w:r>
        <w:rPr>
          <w:rFonts w:cs="Arial"/>
          <w:color w:val="000000" w:themeColor="text1"/>
          <w:szCs w:val="22"/>
        </w:rPr>
        <w:t xml:space="preserve"> effects</w:t>
      </w:r>
      <w:r w:rsidRPr="006D1C1E">
        <w:rPr>
          <w:rFonts w:cs="Arial"/>
          <w:color w:val="000000" w:themeColor="text1"/>
          <w:szCs w:val="22"/>
        </w:rPr>
        <w:t xml:space="preserve">, because they have anti-nutrient properties or they can cause allergies in some consumers (Delaney et al. 2008). </w:t>
      </w:r>
      <w:r>
        <w:rPr>
          <w:rFonts w:cs="Arial"/>
          <w:color w:val="000000" w:themeColor="text1"/>
          <w:szCs w:val="22"/>
        </w:rPr>
        <w:t>Furthermore, proteins perform a wide range of functions in humans. To encompass this range of type and function, the safety assessment of the novel protein must consider</w:t>
      </w:r>
      <w:r w:rsidRPr="008C6C40">
        <w:rPr>
          <w:rFonts w:cs="Arial"/>
          <w:color w:val="000000" w:themeColor="text1"/>
          <w:szCs w:val="22"/>
        </w:rPr>
        <w:t xml:space="preserve"> </w:t>
      </w:r>
      <w:r>
        <w:rPr>
          <w:rFonts w:cs="Arial"/>
          <w:color w:val="000000" w:themeColor="text1"/>
          <w:szCs w:val="22"/>
        </w:rPr>
        <w:t xml:space="preserve">if there is a history of safe use, </w:t>
      </w:r>
      <w:r w:rsidR="001D7224">
        <w:rPr>
          <w:rFonts w:cs="Arial"/>
          <w:color w:val="000000" w:themeColor="text1"/>
          <w:szCs w:val="22"/>
        </w:rPr>
        <w:t xml:space="preserve">and whether </w:t>
      </w:r>
      <w:r>
        <w:rPr>
          <w:rFonts w:cs="Arial"/>
          <w:color w:val="000000" w:themeColor="text1"/>
          <w:szCs w:val="22"/>
        </w:rPr>
        <w:t xml:space="preserve">there any </w:t>
      </w:r>
      <w:r w:rsidRPr="006D1C1E">
        <w:rPr>
          <w:rFonts w:cs="Arial"/>
          <w:color w:val="000000" w:themeColor="text1"/>
          <w:szCs w:val="22"/>
        </w:rPr>
        <w:t>potential toxic or allergenic effects</w:t>
      </w:r>
      <w:r>
        <w:rPr>
          <w:rFonts w:cs="Arial"/>
          <w:color w:val="000000" w:themeColor="text1"/>
          <w:szCs w:val="22"/>
        </w:rPr>
        <w:t>.</w:t>
      </w:r>
    </w:p>
    <w:p w14:paraId="2527AE52" w14:textId="77777777" w:rsidR="00CA3849" w:rsidRDefault="00CA3849" w:rsidP="00CA3849"/>
    <w:p w14:paraId="7E573549" w14:textId="0615E672" w:rsidR="00CA3849" w:rsidRDefault="00CA3849" w:rsidP="00CA3849">
      <w:r w:rsidRPr="002033A1">
        <w:lastRenderedPageBreak/>
        <w:t xml:space="preserve">The </w:t>
      </w:r>
      <w:r w:rsidRPr="008A4F5D">
        <w:rPr>
          <w:i/>
        </w:rPr>
        <w:t>lpl</w:t>
      </w:r>
      <w:r>
        <w:t xml:space="preserve"> </w:t>
      </w:r>
      <w:r w:rsidRPr="002033A1">
        <w:t xml:space="preserve">gene sequence </w:t>
      </w:r>
      <w:r>
        <w:t xml:space="preserve">expressed in RF7206 is identical to that in the </w:t>
      </w:r>
      <w:r w:rsidRPr="008A4F5D">
        <w:rPr>
          <w:i/>
        </w:rPr>
        <w:t>A. nishimurae</w:t>
      </w:r>
      <w:r>
        <w:t xml:space="preserve"> donor. </w:t>
      </w:r>
    </w:p>
    <w:p w14:paraId="11365ADE" w14:textId="7437B1A1" w:rsidR="000D6FAC" w:rsidRDefault="000D6FAC" w:rsidP="00CA3849"/>
    <w:p w14:paraId="17A66AFF" w14:textId="0298CC79" w:rsidR="000D6FAC" w:rsidRDefault="000D6FAC" w:rsidP="00CA3849">
      <w:r>
        <w:t xml:space="preserve">The enzyme preparation as marketed is 13.3% w/w lysophospholipase. Other components are glycerol (50% w/w), water (31.4%), sodium chloride (5%) and sodium benzoate (0.35%). </w:t>
      </w:r>
      <w:r w:rsidR="00C504DB">
        <w:t xml:space="preserve">None of these components give cause for concern at the very low levels of exposure that would result from the use of the enzyme as a processing aid. </w:t>
      </w:r>
    </w:p>
    <w:p w14:paraId="1CC6BA13" w14:textId="3C25003D" w:rsidR="00C15A6C" w:rsidRDefault="00C15A6C" w:rsidP="001E6A7B">
      <w:pPr>
        <w:pStyle w:val="Heading3"/>
      </w:pPr>
      <w:bookmarkStart w:id="54" w:name="_Toc528851099"/>
      <w:r w:rsidRPr="00C15A6C">
        <w:t>3.</w:t>
      </w:r>
      <w:r w:rsidR="00A07714">
        <w:t>3</w:t>
      </w:r>
      <w:r w:rsidRPr="00C15A6C">
        <w:t>.1</w:t>
      </w:r>
      <w:r w:rsidR="0035149D">
        <w:tab/>
      </w:r>
      <w:r w:rsidRPr="00C15A6C">
        <w:t>History of safe use of the enzyme</w:t>
      </w:r>
      <w:bookmarkEnd w:id="54"/>
    </w:p>
    <w:p w14:paraId="3949EA99" w14:textId="3C065B5F" w:rsidR="00C15A6C" w:rsidRDefault="00A30707" w:rsidP="00C15A6C">
      <w:pPr>
        <w:rPr>
          <w:lang w:bidi="ar-SA"/>
        </w:rPr>
      </w:pPr>
      <w:r>
        <w:rPr>
          <w:lang w:bidi="ar-SA"/>
        </w:rPr>
        <w:t>The specific enzy</w:t>
      </w:r>
      <w:r w:rsidR="00687902">
        <w:rPr>
          <w:lang w:bidi="ar-SA"/>
        </w:rPr>
        <w:t>me that is the subject of this a</w:t>
      </w:r>
      <w:r>
        <w:rPr>
          <w:lang w:bidi="ar-SA"/>
        </w:rPr>
        <w:t xml:space="preserve">pplication has been approved for use in France since July 2013, and in the USA since </w:t>
      </w:r>
      <w:r w:rsidR="005071E5">
        <w:rPr>
          <w:lang w:bidi="ar-SA"/>
        </w:rPr>
        <w:t>October 2016 (see section 3.</w:t>
      </w:r>
      <w:r w:rsidR="007B70AE">
        <w:rPr>
          <w:lang w:bidi="ar-SA"/>
        </w:rPr>
        <w:t>3</w:t>
      </w:r>
      <w:r w:rsidR="005071E5">
        <w:rPr>
          <w:lang w:bidi="ar-SA"/>
        </w:rPr>
        <w:t xml:space="preserve">.6). </w:t>
      </w:r>
    </w:p>
    <w:p w14:paraId="4B319AB9" w14:textId="7E5E8D31" w:rsidR="00C15A6C" w:rsidRDefault="00A07714" w:rsidP="001E6A7B">
      <w:pPr>
        <w:pStyle w:val="Heading3"/>
      </w:pPr>
      <w:bookmarkStart w:id="55" w:name="_Toc528851100"/>
      <w:r>
        <w:t>3.3</w:t>
      </w:r>
      <w:r w:rsidR="00C15A6C">
        <w:t>.2</w:t>
      </w:r>
      <w:r w:rsidR="0035149D">
        <w:tab/>
      </w:r>
      <w:r w:rsidR="00C15A6C">
        <w:t>Toxicology studies in animals</w:t>
      </w:r>
      <w:bookmarkEnd w:id="55"/>
    </w:p>
    <w:p w14:paraId="7D657AA7" w14:textId="485475DE" w:rsidR="00C15A6C" w:rsidRDefault="00F72A16" w:rsidP="00F72A16">
      <w:pPr>
        <w:rPr>
          <w:lang w:bidi="ar-SA"/>
        </w:rPr>
      </w:pPr>
      <w:r>
        <w:rPr>
          <w:lang w:bidi="ar-SA"/>
        </w:rPr>
        <w:t>One study in rat</w:t>
      </w:r>
      <w:r w:rsidR="00687902">
        <w:rPr>
          <w:lang w:bidi="ar-SA"/>
        </w:rPr>
        <w:t>s was submitted as part of the a</w:t>
      </w:r>
      <w:r>
        <w:rPr>
          <w:lang w:bidi="ar-SA"/>
        </w:rPr>
        <w:t xml:space="preserve">pplication. </w:t>
      </w:r>
    </w:p>
    <w:p w14:paraId="65DCE63A" w14:textId="77777777" w:rsidR="00F72A16" w:rsidRDefault="00F72A16" w:rsidP="00C15A6C">
      <w:pPr>
        <w:rPr>
          <w:b/>
          <w:i/>
          <w:lang w:bidi="ar-SA"/>
        </w:rPr>
      </w:pPr>
    </w:p>
    <w:p w14:paraId="07ADDB35" w14:textId="58374BC4" w:rsidR="00A30707" w:rsidRPr="008F0779" w:rsidRDefault="008F0779" w:rsidP="00C15A6C">
      <w:pPr>
        <w:rPr>
          <w:i/>
          <w:lang w:bidi="ar-SA"/>
        </w:rPr>
      </w:pPr>
      <w:r w:rsidRPr="008F0779">
        <w:rPr>
          <w:i/>
          <w:lang w:bidi="ar-SA"/>
        </w:rPr>
        <w:t xml:space="preserve">Ninety-day oral gavage study in Wistar rats </w:t>
      </w:r>
      <w:r>
        <w:rPr>
          <w:i/>
          <w:lang w:bidi="ar-SA"/>
        </w:rPr>
        <w:t>(Harlan Laboratories Ltd.</w:t>
      </w:r>
      <w:r w:rsidR="00AF723B">
        <w:rPr>
          <w:i/>
          <w:lang w:bidi="ar-SA"/>
        </w:rPr>
        <w:t>, Study Number B99180, May</w:t>
      </w:r>
      <w:r>
        <w:rPr>
          <w:i/>
          <w:lang w:bidi="ar-SA"/>
        </w:rPr>
        <w:t xml:space="preserve"> 2009). Regulatory status: GLP. Conducted according to OECD Guideline No. 408. </w:t>
      </w:r>
    </w:p>
    <w:p w14:paraId="5DBB3101" w14:textId="20974448" w:rsidR="00A30707" w:rsidRPr="008F0779" w:rsidRDefault="00A30707" w:rsidP="00C15A6C">
      <w:pPr>
        <w:rPr>
          <w:i/>
          <w:lang w:bidi="ar-SA"/>
        </w:rPr>
      </w:pPr>
    </w:p>
    <w:p w14:paraId="6623323B" w14:textId="42BFC9E7" w:rsidR="00A30707" w:rsidRDefault="009F288E" w:rsidP="00C15A6C">
      <w:pPr>
        <w:rPr>
          <w:lang w:bidi="ar-SA"/>
        </w:rPr>
      </w:pPr>
      <w:r>
        <w:rPr>
          <w:lang w:bidi="ar-SA"/>
        </w:rPr>
        <w:t>The test article for this study was</w:t>
      </w:r>
      <w:r w:rsidR="00A63653">
        <w:rPr>
          <w:lang w:bidi="ar-SA"/>
        </w:rPr>
        <w:t xml:space="preserve"> the enzy</w:t>
      </w:r>
      <w:r w:rsidR="00687902">
        <w:rPr>
          <w:lang w:bidi="ar-SA"/>
        </w:rPr>
        <w:t>me that is the subject of this ap</w:t>
      </w:r>
      <w:r w:rsidR="00A63653">
        <w:rPr>
          <w:lang w:bidi="ar-SA"/>
        </w:rPr>
        <w:t>plication; that is,</w:t>
      </w:r>
      <w:r>
        <w:rPr>
          <w:lang w:bidi="ar-SA"/>
        </w:rPr>
        <w:t xml:space="preserve"> </w:t>
      </w:r>
      <w:r w:rsidR="00985DD0">
        <w:rPr>
          <w:lang w:bidi="ar-SA"/>
        </w:rPr>
        <w:t xml:space="preserve">lysophospholipase from </w:t>
      </w:r>
      <w:r w:rsidR="00985DD0" w:rsidRPr="00985DD0">
        <w:rPr>
          <w:i/>
          <w:lang w:bidi="ar-SA"/>
        </w:rPr>
        <w:t>T</w:t>
      </w:r>
      <w:r w:rsidR="00687902">
        <w:rPr>
          <w:i/>
          <w:lang w:bidi="ar-SA"/>
        </w:rPr>
        <w:t xml:space="preserve">. </w:t>
      </w:r>
      <w:r w:rsidR="00985DD0" w:rsidRPr="00985DD0">
        <w:rPr>
          <w:i/>
          <w:lang w:bidi="ar-SA"/>
        </w:rPr>
        <w:t>reesei</w:t>
      </w:r>
      <w:r w:rsidR="00985DD0">
        <w:rPr>
          <w:lang w:bidi="ar-SA"/>
        </w:rPr>
        <w:t xml:space="preserve"> RF7206. </w:t>
      </w:r>
      <w:r w:rsidR="00A63653">
        <w:rPr>
          <w:lang w:bidi="ar-SA"/>
        </w:rPr>
        <w:t xml:space="preserve">The test article was provided </w:t>
      </w:r>
      <w:r w:rsidR="00FE2C25">
        <w:rPr>
          <w:lang w:bidi="ar-SA"/>
        </w:rPr>
        <w:t xml:space="preserve">by the Sponsor </w:t>
      </w:r>
      <w:r w:rsidR="00A63653">
        <w:rPr>
          <w:lang w:bidi="ar-SA"/>
        </w:rPr>
        <w:t xml:space="preserve">in dried form (96.3% dry matter) with a lysophospholipase content of 44.2 mg/g, equal to 6.67% of the total protein. The enzyme preparation comprised 66.3% protein, 28.8% carbohydrate, 0.8% ash and 0.4% lipid. The vehicle and control article was bidistilled water, in which the test article was administered as a suspension. Dose formulations were prepared weekly on the basis of stability data from a preliminary study. </w:t>
      </w:r>
      <w:r w:rsidR="00FE2C25">
        <w:rPr>
          <w:lang w:bidi="ar-SA"/>
        </w:rPr>
        <w:t xml:space="preserve">Concentration, homogeneity and stability of dose formulations were determined on Days 1 and 7, and concentration of dose formulations was also determined during Weeks 6 and 13. Dose concentrations were within 20% of nominal concentrations. </w:t>
      </w:r>
    </w:p>
    <w:p w14:paraId="1CBA296F" w14:textId="79BD426E" w:rsidR="00FE2C25" w:rsidRDefault="00FE2C25" w:rsidP="00C15A6C">
      <w:pPr>
        <w:rPr>
          <w:lang w:bidi="ar-SA"/>
        </w:rPr>
      </w:pPr>
    </w:p>
    <w:p w14:paraId="6CAA5CAF" w14:textId="60B92D98" w:rsidR="00FE2C25" w:rsidRDefault="00FE2C25" w:rsidP="00C15A6C">
      <w:pPr>
        <w:rPr>
          <w:lang w:bidi="ar-SA"/>
        </w:rPr>
      </w:pPr>
      <w:r>
        <w:rPr>
          <w:lang w:bidi="ar-SA"/>
        </w:rPr>
        <w:t>Wistar rats, 40/sex, were delivered at approximately 7 weeks of age and housed in groups of 5 in polycarbonate cages under standard laboratory environmental conditions</w:t>
      </w:r>
      <w:r w:rsidR="007F7C04">
        <w:rPr>
          <w:lang w:bidi="ar-SA"/>
        </w:rPr>
        <w:t xml:space="preserve">. Water and standard pelleted rat diet were provided </w:t>
      </w:r>
      <w:r w:rsidR="007F7C04" w:rsidRPr="007F7C04">
        <w:rPr>
          <w:i/>
          <w:lang w:bidi="ar-SA"/>
        </w:rPr>
        <w:t>ad libitum</w:t>
      </w:r>
      <w:r w:rsidR="007F7C04">
        <w:rPr>
          <w:i/>
          <w:lang w:bidi="ar-SA"/>
        </w:rPr>
        <w:t>.</w:t>
      </w:r>
      <w:r w:rsidR="00B30E51">
        <w:rPr>
          <w:i/>
          <w:lang w:bidi="ar-SA"/>
        </w:rPr>
        <w:t xml:space="preserve"> </w:t>
      </w:r>
      <w:r w:rsidR="00FB07C2">
        <w:rPr>
          <w:lang w:bidi="ar-SA"/>
        </w:rPr>
        <w:t xml:space="preserve">Rats were acclimatized to laboratory conditions for 7 days prior to commencement of the study. From Day 1 of study, 10 rats/sex/group were gavaged once daily with 0, 100, 300 or 1000 mg/kg bw/day, at a dose volume of </w:t>
      </w:r>
      <w:r w:rsidR="00B84BB0">
        <w:rPr>
          <w:lang w:bidi="ar-SA"/>
        </w:rPr>
        <w:t xml:space="preserve">10 mL/ kg bw </w:t>
      </w:r>
      <w:r w:rsidR="00FB07C2">
        <w:rPr>
          <w:lang w:bidi="ar-SA"/>
        </w:rPr>
        <w:t xml:space="preserve">for 13 weeks. </w:t>
      </w:r>
    </w:p>
    <w:p w14:paraId="3B171C87" w14:textId="12DE0034" w:rsidR="00AF723B" w:rsidRDefault="00AF723B" w:rsidP="00C15A6C">
      <w:pPr>
        <w:rPr>
          <w:lang w:bidi="ar-SA"/>
        </w:rPr>
      </w:pPr>
    </w:p>
    <w:p w14:paraId="367E161B" w14:textId="3A35DCA5" w:rsidR="00B91C91" w:rsidRDefault="00AF723B" w:rsidP="00C15A6C">
      <w:pPr>
        <w:rPr>
          <w:lang w:bidi="ar-SA"/>
        </w:rPr>
      </w:pPr>
      <w:r>
        <w:rPr>
          <w:lang w:bidi="ar-SA"/>
        </w:rPr>
        <w:t xml:space="preserve">Parameters measured </w:t>
      </w:r>
      <w:r w:rsidR="00B91C91">
        <w:rPr>
          <w:lang w:bidi="ar-SA"/>
        </w:rPr>
        <w:t xml:space="preserve">in all rats </w:t>
      </w:r>
      <w:r>
        <w:rPr>
          <w:lang w:bidi="ar-SA"/>
        </w:rPr>
        <w:t>during the in-life phase of the study were survival, clinical observations, food consumption, body weights and body weight changes</w:t>
      </w:r>
      <w:r w:rsidR="005F5C7D">
        <w:rPr>
          <w:lang w:bidi="ar-SA"/>
        </w:rPr>
        <w:t>, functional observational battery, grip strength and motor activity</w:t>
      </w:r>
      <w:r>
        <w:rPr>
          <w:lang w:bidi="ar-SA"/>
        </w:rPr>
        <w:t xml:space="preserve">. Cageside mortality/moribundity checks were conducted twice daily, cageside clinical observations were made twice daily on Days 1-3 and daily </w:t>
      </w:r>
      <w:r>
        <w:rPr>
          <w:lang w:bidi="ar-SA"/>
        </w:rPr>
        <w:lastRenderedPageBreak/>
        <w:t xml:space="preserve">thereafter, and detailed observations were made weekly. </w:t>
      </w:r>
      <w:r w:rsidR="00B91C91">
        <w:rPr>
          <w:lang w:bidi="ar-SA"/>
        </w:rPr>
        <w:t xml:space="preserve">Detailed observations included assessment of appearance, motor function, behaviour, respiration, reflexes, muscle tone, foot colour and external examination of the eyes. Food consumption and body weights were recorded weekly. </w:t>
      </w:r>
      <w:r w:rsidR="005F5C7D">
        <w:rPr>
          <w:lang w:bidi="ar-SA"/>
        </w:rPr>
        <w:t>F</w:t>
      </w:r>
      <w:r w:rsidR="005F5C7D" w:rsidRPr="005F5C7D">
        <w:rPr>
          <w:lang w:bidi="ar-SA"/>
        </w:rPr>
        <w:t>unctional observational battery</w:t>
      </w:r>
      <w:r w:rsidR="005F022B">
        <w:rPr>
          <w:lang w:bidi="ar-SA"/>
        </w:rPr>
        <w:t xml:space="preserve"> (FOB)</w:t>
      </w:r>
      <w:r w:rsidR="005F5C7D" w:rsidRPr="005F5C7D">
        <w:rPr>
          <w:lang w:bidi="ar-SA"/>
        </w:rPr>
        <w:t>, and assessments of grip strength and motor activity</w:t>
      </w:r>
      <w:r w:rsidR="005F5C7D">
        <w:rPr>
          <w:lang w:bidi="ar-SA"/>
        </w:rPr>
        <w:t>, were conducted</w:t>
      </w:r>
      <w:r w:rsidR="005F5C7D" w:rsidRPr="005F5C7D">
        <w:rPr>
          <w:lang w:bidi="ar-SA"/>
        </w:rPr>
        <w:t xml:space="preserve"> during Week 13.</w:t>
      </w:r>
    </w:p>
    <w:p w14:paraId="7121E19B" w14:textId="77777777" w:rsidR="00B91C91" w:rsidRDefault="00B91C91" w:rsidP="00C15A6C">
      <w:pPr>
        <w:rPr>
          <w:lang w:bidi="ar-SA"/>
        </w:rPr>
      </w:pPr>
    </w:p>
    <w:p w14:paraId="20C96E9A" w14:textId="5E63CDD2" w:rsidR="005F5C7D" w:rsidRDefault="00B91C91" w:rsidP="00C15A6C">
      <w:pPr>
        <w:rPr>
          <w:lang w:bidi="ar-SA"/>
        </w:rPr>
      </w:pPr>
      <w:r>
        <w:rPr>
          <w:lang w:bidi="ar-SA"/>
        </w:rPr>
        <w:t xml:space="preserve">Ophthalmoscopic examinations were performed on </w:t>
      </w:r>
      <w:r w:rsidR="00135005">
        <w:rPr>
          <w:lang w:bidi="ar-SA"/>
        </w:rPr>
        <w:t xml:space="preserve">all </w:t>
      </w:r>
      <w:r>
        <w:rPr>
          <w:lang w:bidi="ar-SA"/>
        </w:rPr>
        <w:t>rats</w:t>
      </w:r>
      <w:r w:rsidR="00135005">
        <w:rPr>
          <w:lang w:bidi="ar-SA"/>
        </w:rPr>
        <w:t xml:space="preserve"> during the </w:t>
      </w:r>
      <w:r w:rsidR="006B0FDC">
        <w:rPr>
          <w:lang w:bidi="ar-SA"/>
        </w:rPr>
        <w:t xml:space="preserve">acclimatisation </w:t>
      </w:r>
      <w:r w:rsidR="00135005">
        <w:rPr>
          <w:lang w:bidi="ar-SA"/>
        </w:rPr>
        <w:t>period, and</w:t>
      </w:r>
      <w:r>
        <w:rPr>
          <w:lang w:bidi="ar-SA"/>
        </w:rPr>
        <w:t xml:space="preserve"> in the control and 1000 mg/kg bw/day groups during Week 12 of the study.  </w:t>
      </w:r>
      <w:r w:rsidR="005F5C7D">
        <w:rPr>
          <w:lang w:bidi="ar-SA"/>
        </w:rPr>
        <w:t xml:space="preserve">No differences were identified between control and 1000 mg/kg bw/day groups, and therefore no other groups were examined. </w:t>
      </w:r>
    </w:p>
    <w:p w14:paraId="3CE17CC1" w14:textId="154D3448" w:rsidR="00135005" w:rsidRDefault="00135005" w:rsidP="00C15A6C">
      <w:pPr>
        <w:rPr>
          <w:lang w:bidi="ar-SA"/>
        </w:rPr>
      </w:pPr>
    </w:p>
    <w:p w14:paraId="4DDB587D" w14:textId="4BCCEED6" w:rsidR="00135005" w:rsidRDefault="00135005" w:rsidP="00C15A6C">
      <w:pPr>
        <w:rPr>
          <w:lang w:bidi="ar-SA"/>
        </w:rPr>
      </w:pPr>
      <w:r>
        <w:rPr>
          <w:lang w:bidi="ar-SA"/>
        </w:rPr>
        <w:t xml:space="preserve">At the end of the in-life phase, all rats were fasted overnight in metabolism cages, with </w:t>
      </w:r>
      <w:r w:rsidRPr="00135005">
        <w:rPr>
          <w:i/>
          <w:lang w:bidi="ar-SA"/>
        </w:rPr>
        <w:t>ad libitum</w:t>
      </w:r>
      <w:r>
        <w:rPr>
          <w:lang w:bidi="ar-SA"/>
        </w:rPr>
        <w:t xml:space="preserve"> access to water, and urine was collected. Rats were then lightly anesthetized with isoflurane, and blood was collected from the retro-orbital plexus. Comprehensive assessment of urinalysis, haematology, clinical chemistry and coagulation parameters was conducted, including measurement of methaemoglobin. Rats were then weighed, anaesthetized and killed. Weights of adrenal glands, brain, heart, kidneys, liver, spleen, thymus, and either testes and epididymides or ovaries and uterus, as sex-appropriate. A comprehensive list of organs was collected and fixed for histopathological examination. Slides were prepared for all tissues of rats in the control and 1000 mg/kg bw/d</w:t>
      </w:r>
      <w:r w:rsidR="00777538">
        <w:rPr>
          <w:lang w:bidi="ar-SA"/>
        </w:rPr>
        <w:t>ay</w:t>
      </w:r>
      <w:r>
        <w:rPr>
          <w:lang w:bidi="ar-SA"/>
        </w:rPr>
        <w:t xml:space="preserve"> groups, and for all tissues in which gross lesions were observed at necropsy. </w:t>
      </w:r>
    </w:p>
    <w:p w14:paraId="18CB195C" w14:textId="41D0CEBF" w:rsidR="006359E9" w:rsidRDefault="006359E9" w:rsidP="00C15A6C">
      <w:pPr>
        <w:rPr>
          <w:lang w:bidi="ar-SA"/>
        </w:rPr>
      </w:pPr>
    </w:p>
    <w:p w14:paraId="02984E2E" w14:textId="2B4FE087" w:rsidR="006359E9" w:rsidRDefault="006359E9" w:rsidP="00C15A6C">
      <w:pPr>
        <w:rPr>
          <w:lang w:bidi="ar-SA"/>
        </w:rPr>
      </w:pPr>
      <w:r>
        <w:rPr>
          <w:lang w:bidi="ar-SA"/>
        </w:rPr>
        <w:t xml:space="preserve">All rats survived to scheduled termination and there were no treatment-related effects on clinical signs, </w:t>
      </w:r>
      <w:r w:rsidR="005F022B">
        <w:rPr>
          <w:lang w:bidi="ar-SA"/>
        </w:rPr>
        <w:t xml:space="preserve"> performance on FOB, grip strength, locomotor activity, ophthalmological findings, haematology, gross necropsy findings, or histopathological findings</w:t>
      </w:r>
      <w:r>
        <w:rPr>
          <w:lang w:bidi="ar-SA"/>
        </w:rPr>
        <w:t xml:space="preserve">. </w:t>
      </w:r>
      <w:r w:rsidR="0086342E">
        <w:rPr>
          <w:lang w:bidi="ar-SA"/>
        </w:rPr>
        <w:t xml:space="preserve">Group mean body weight of the 1000 mg/kg bw/day males was slightly lower than that of control males but the difference was not statistically significant. </w:t>
      </w:r>
    </w:p>
    <w:p w14:paraId="312BFC11" w14:textId="41E0E682" w:rsidR="005F5C7D" w:rsidRDefault="005F5C7D" w:rsidP="00C15A6C">
      <w:pPr>
        <w:rPr>
          <w:lang w:bidi="ar-SA"/>
        </w:rPr>
      </w:pPr>
    </w:p>
    <w:p w14:paraId="6BF7D008" w14:textId="61B088C7" w:rsidR="005F5C7D" w:rsidRDefault="0072301D" w:rsidP="00C15A6C">
      <w:pPr>
        <w:rPr>
          <w:lang w:bidi="ar-SA"/>
        </w:rPr>
      </w:pPr>
      <w:r>
        <w:rPr>
          <w:lang w:bidi="ar-SA"/>
        </w:rPr>
        <w:t xml:space="preserve">A slight decrease in </w:t>
      </w:r>
      <w:r w:rsidR="00C30CA1">
        <w:rPr>
          <w:lang w:bidi="ar-SA"/>
        </w:rPr>
        <w:t xml:space="preserve">group mean </w:t>
      </w:r>
      <w:r>
        <w:rPr>
          <w:lang w:bidi="ar-SA"/>
        </w:rPr>
        <w:t>food consumption, expressed as g/animal/day, was observed in all treatment groups when compared to control groups of the same sex, and this effect increased</w:t>
      </w:r>
      <w:r w:rsidR="004C06B5">
        <w:rPr>
          <w:lang w:bidi="ar-SA"/>
        </w:rPr>
        <w:t xml:space="preserve"> slightly</w:t>
      </w:r>
      <w:r>
        <w:rPr>
          <w:lang w:bidi="ar-SA"/>
        </w:rPr>
        <w:t xml:space="preserve"> with dose in males but not in femal</w:t>
      </w:r>
      <w:r w:rsidR="00C30CA1">
        <w:rPr>
          <w:lang w:bidi="ar-SA"/>
        </w:rPr>
        <w:t xml:space="preserve">es. The effect became apparent after 15-22 days in males, and 36-43 days in females. However the decreased food consumption did not result in decreased body weight or body weight gain. It was concluded that the effect was treatment-related but not adverse. </w:t>
      </w:r>
    </w:p>
    <w:p w14:paraId="3B7E8497" w14:textId="4B5F45C5" w:rsidR="00C30CA1" w:rsidRDefault="00C30CA1" w:rsidP="00C15A6C">
      <w:pPr>
        <w:rPr>
          <w:lang w:bidi="ar-SA"/>
        </w:rPr>
      </w:pPr>
    </w:p>
    <w:p w14:paraId="21046C36" w14:textId="486AF418" w:rsidR="00C30CA1" w:rsidRDefault="00C30CA1" w:rsidP="00C15A6C">
      <w:pPr>
        <w:rPr>
          <w:lang w:bidi="ar-SA"/>
        </w:rPr>
      </w:pPr>
      <w:r>
        <w:rPr>
          <w:lang w:bidi="ar-SA"/>
        </w:rPr>
        <w:t>A small number of group mean values for clinical biochemistry parameters were significantly different to those of sex-matched controls, although they were not considered to be adverse because the values remained within the historical control range for the labo</w:t>
      </w:r>
      <w:r w:rsidR="00777538">
        <w:rPr>
          <w:lang w:bidi="ar-SA"/>
        </w:rPr>
        <w:t>ratory, there were no histopathological correlates, and a clear dose-response relationship was not evident. The differences were therefore not considered to be adverse</w:t>
      </w:r>
      <w:r w:rsidR="00FC7990">
        <w:rPr>
          <w:lang w:bidi="ar-SA"/>
        </w:rPr>
        <w:t xml:space="preserve"> or clearly related to the test article</w:t>
      </w:r>
      <w:r w:rsidR="00777538">
        <w:rPr>
          <w:lang w:bidi="ar-SA"/>
        </w:rPr>
        <w:t xml:space="preserve">. Likewise, an increase in urinary bilirubin in 1000 mg/kg bw/day females remained within </w:t>
      </w:r>
      <w:r w:rsidR="009C761D">
        <w:rPr>
          <w:lang w:bidi="ar-SA"/>
        </w:rPr>
        <w:t xml:space="preserve">the </w:t>
      </w:r>
      <w:r w:rsidR="00777538">
        <w:rPr>
          <w:lang w:bidi="ar-SA"/>
        </w:rPr>
        <w:t xml:space="preserve">historical control range. </w:t>
      </w:r>
    </w:p>
    <w:p w14:paraId="79116E04" w14:textId="77777777" w:rsidR="00777538" w:rsidRDefault="00777538" w:rsidP="00C15A6C">
      <w:pPr>
        <w:rPr>
          <w:lang w:bidi="ar-SA"/>
        </w:rPr>
      </w:pPr>
    </w:p>
    <w:p w14:paraId="18155000" w14:textId="4366413F" w:rsidR="005F5C7D" w:rsidRDefault="00A316EA" w:rsidP="00C15A6C">
      <w:pPr>
        <w:rPr>
          <w:lang w:bidi="ar-SA"/>
        </w:rPr>
      </w:pPr>
      <w:r>
        <w:rPr>
          <w:lang w:bidi="ar-SA"/>
        </w:rPr>
        <w:lastRenderedPageBreak/>
        <w:t xml:space="preserve">The group mean heart weight of the 1000 mg/kg bw/day males was significantly less than that of male controls, but this effect was not evident when organ:body weight and </w:t>
      </w:r>
      <w:r w:rsidR="0086342E">
        <w:rPr>
          <w:lang w:bidi="ar-SA"/>
        </w:rPr>
        <w:t>organ:brain</w:t>
      </w:r>
      <w:r>
        <w:rPr>
          <w:lang w:bidi="ar-SA"/>
        </w:rPr>
        <w:t xml:space="preserve"> weight ratios were considered, which indicates that it is an effect of the slightly lower group mean bodyweight of the </w:t>
      </w:r>
      <w:r w:rsidRPr="00A316EA">
        <w:rPr>
          <w:lang w:bidi="ar-SA"/>
        </w:rPr>
        <w:t>1000 mg/kg bw/day males</w:t>
      </w:r>
      <w:r>
        <w:rPr>
          <w:lang w:bidi="ar-SA"/>
        </w:rPr>
        <w:t xml:space="preserve">. Group mean kidney weights of females in all treatment groups were lower than those of control females, both in absolute terms and when compared to brain weight, but there were not histopathological correlates and the findings were therefore not considered to be adverse. Statistically significant differences to those of controls in absolute and relative ovary weight of 300 mg/kg bw/day females and in uterus:brain weight ratio in 100 mg/kg bw/day females did not show a dose-response relationship and had no histopathological correlates. </w:t>
      </w:r>
    </w:p>
    <w:p w14:paraId="2CB2C57A" w14:textId="37ACF3CE" w:rsidR="00FC7990" w:rsidRDefault="00FC7990" w:rsidP="00C15A6C">
      <w:pPr>
        <w:rPr>
          <w:lang w:bidi="ar-SA"/>
        </w:rPr>
      </w:pPr>
    </w:p>
    <w:p w14:paraId="6886C1E0" w14:textId="1B700396" w:rsidR="009C761D" w:rsidRDefault="009C761D" w:rsidP="00C15A6C">
      <w:pPr>
        <w:rPr>
          <w:lang w:bidi="ar-SA"/>
        </w:rPr>
      </w:pPr>
      <w:r>
        <w:rPr>
          <w:lang w:bidi="ar-SA"/>
        </w:rPr>
        <w:t xml:space="preserve">The NOAEL was the highest dose tested, 1000 mg/kg bw/day, equivalent to 995 mg/kg bw/day when expressed as total organic solids (TOS). </w:t>
      </w:r>
    </w:p>
    <w:p w14:paraId="16DC0996" w14:textId="797957B8" w:rsidR="00C15A6C" w:rsidRDefault="00C15A6C" w:rsidP="001E6A7B">
      <w:pPr>
        <w:pStyle w:val="Heading3"/>
      </w:pPr>
      <w:bookmarkStart w:id="56" w:name="_Toc528851101"/>
      <w:r>
        <w:t>3.</w:t>
      </w:r>
      <w:r w:rsidR="00A07714">
        <w:t>3</w:t>
      </w:r>
      <w:r>
        <w:t>.3</w:t>
      </w:r>
      <w:r w:rsidR="0035149D">
        <w:tab/>
      </w:r>
      <w:r>
        <w:t>Genotoxicity assays</w:t>
      </w:r>
      <w:bookmarkEnd w:id="56"/>
    </w:p>
    <w:p w14:paraId="7338697F" w14:textId="1511B7E5" w:rsidR="0037063D" w:rsidRDefault="00F72A16" w:rsidP="00F72A16">
      <w:pPr>
        <w:rPr>
          <w:lang w:bidi="ar-SA"/>
        </w:rPr>
      </w:pPr>
      <w:r>
        <w:rPr>
          <w:lang w:bidi="ar-SA"/>
        </w:rPr>
        <w:t>Two genotoxicity assays were submitted as part of th</w:t>
      </w:r>
      <w:r w:rsidR="006636AA">
        <w:rPr>
          <w:lang w:bidi="ar-SA"/>
        </w:rPr>
        <w:t>e a</w:t>
      </w:r>
      <w:r>
        <w:rPr>
          <w:lang w:bidi="ar-SA"/>
        </w:rPr>
        <w:t xml:space="preserve">pplication. </w:t>
      </w:r>
    </w:p>
    <w:p w14:paraId="104B2CED" w14:textId="77777777" w:rsidR="00F72A16" w:rsidRDefault="00F72A16" w:rsidP="00C15A6C">
      <w:pPr>
        <w:rPr>
          <w:b/>
          <w:i/>
          <w:lang w:bidi="ar-SA"/>
        </w:rPr>
      </w:pPr>
    </w:p>
    <w:p w14:paraId="01D30D46" w14:textId="62D0D2CD" w:rsidR="0037063D" w:rsidRDefault="0037063D" w:rsidP="00C15A6C">
      <w:pPr>
        <w:rPr>
          <w:i/>
          <w:lang w:bidi="ar-SA"/>
        </w:rPr>
      </w:pPr>
      <w:r>
        <w:rPr>
          <w:i/>
          <w:lang w:bidi="ar-SA"/>
        </w:rPr>
        <w:t>Bacterial r</w:t>
      </w:r>
      <w:r w:rsidRPr="0037063D">
        <w:rPr>
          <w:i/>
          <w:lang w:bidi="ar-SA"/>
        </w:rPr>
        <w:t>everse mutation assay (</w:t>
      </w:r>
      <w:r>
        <w:rPr>
          <w:i/>
          <w:lang w:bidi="ar-SA"/>
        </w:rPr>
        <w:t>RCC-Cytotest Cell Research GmbH</w:t>
      </w:r>
      <w:r w:rsidR="009E0576">
        <w:rPr>
          <w:i/>
          <w:lang w:bidi="ar-SA"/>
        </w:rPr>
        <w:t>, Study Number 1155101, April</w:t>
      </w:r>
      <w:r>
        <w:rPr>
          <w:i/>
          <w:lang w:bidi="ar-SA"/>
        </w:rPr>
        <w:t xml:space="preserve"> 2008). Regulatory status: GLP</w:t>
      </w:r>
      <w:r w:rsidR="0086342E">
        <w:rPr>
          <w:lang w:bidi="ar-SA"/>
        </w:rPr>
        <w:t xml:space="preserve">. </w:t>
      </w:r>
      <w:r w:rsidR="0086342E" w:rsidRPr="00B0502A">
        <w:rPr>
          <w:i/>
          <w:lang w:bidi="ar-SA"/>
        </w:rPr>
        <w:t>Conducted in compliance with Ninth Addendum to OECD Guidelines for Testing of Chemicals, Section 4, No. 471 (July 21, 1997) and Commission Directive 2000/32/EC, L1362000, Annex 4D (May 19, 2000).</w:t>
      </w:r>
      <w:r w:rsidR="0086342E">
        <w:rPr>
          <w:lang w:bidi="ar-SA"/>
        </w:rPr>
        <w:t xml:space="preserve"> </w:t>
      </w:r>
    </w:p>
    <w:p w14:paraId="0215E45B" w14:textId="248E002B" w:rsidR="0037063D" w:rsidRDefault="0037063D" w:rsidP="00C15A6C">
      <w:pPr>
        <w:rPr>
          <w:i/>
          <w:lang w:bidi="ar-SA"/>
        </w:rPr>
      </w:pPr>
    </w:p>
    <w:p w14:paraId="76A948AF" w14:textId="0EC5F9C6" w:rsidR="0037063D" w:rsidRDefault="0037063D" w:rsidP="00C15A6C">
      <w:pPr>
        <w:rPr>
          <w:lang w:bidi="ar-SA"/>
        </w:rPr>
      </w:pPr>
      <w:r>
        <w:rPr>
          <w:lang w:bidi="ar-SA"/>
        </w:rPr>
        <w:t xml:space="preserve">The test article for this study was the lysophospholipase from </w:t>
      </w:r>
      <w:r w:rsidRPr="0037063D">
        <w:rPr>
          <w:i/>
          <w:lang w:bidi="ar-SA"/>
        </w:rPr>
        <w:t>T</w:t>
      </w:r>
      <w:r w:rsidR="006636AA">
        <w:rPr>
          <w:i/>
          <w:lang w:bidi="ar-SA"/>
        </w:rPr>
        <w:t>.</w:t>
      </w:r>
      <w:r w:rsidRPr="0037063D">
        <w:rPr>
          <w:i/>
          <w:lang w:bidi="ar-SA"/>
        </w:rPr>
        <w:t xml:space="preserve"> reesei</w:t>
      </w:r>
      <w:r>
        <w:rPr>
          <w:lang w:bidi="ar-SA"/>
        </w:rPr>
        <w:t xml:space="preserve"> RF7206. The purity of the batch was not provided to the testing laboratory by the sponsor. </w:t>
      </w:r>
      <w:r w:rsidR="005D63C8">
        <w:rPr>
          <w:lang w:bidi="ar-SA"/>
        </w:rPr>
        <w:t xml:space="preserve">Test article was dissolved in deionised water </w:t>
      </w:r>
      <w:r w:rsidR="00D27155">
        <w:rPr>
          <w:lang w:bidi="ar-SA"/>
        </w:rPr>
        <w:t xml:space="preserve">(DI water) </w:t>
      </w:r>
      <w:r w:rsidR="005D63C8">
        <w:rPr>
          <w:lang w:bidi="ar-SA"/>
        </w:rPr>
        <w:t xml:space="preserve">on the day of the experiment. No precipitation from the solution was observed up to the highest investigated dose. </w:t>
      </w:r>
    </w:p>
    <w:p w14:paraId="7F963A81" w14:textId="528A51F4" w:rsidR="005D63C8" w:rsidRDefault="005D63C8" w:rsidP="00C15A6C">
      <w:pPr>
        <w:rPr>
          <w:lang w:bidi="ar-SA"/>
        </w:rPr>
      </w:pPr>
    </w:p>
    <w:p w14:paraId="619CF097" w14:textId="2BBADD13" w:rsidR="008F0779" w:rsidRDefault="007A04CF" w:rsidP="00C15A6C">
      <w:pPr>
        <w:rPr>
          <w:lang w:bidi="ar-SA"/>
        </w:rPr>
      </w:pPr>
      <w:r>
        <w:rPr>
          <w:lang w:bidi="ar-SA"/>
        </w:rPr>
        <w:t xml:space="preserve">The test systems were strains of </w:t>
      </w:r>
      <w:r w:rsidRPr="007A04CF">
        <w:rPr>
          <w:i/>
          <w:lang w:bidi="ar-SA"/>
        </w:rPr>
        <w:t>Salmonella typhimurium</w:t>
      </w:r>
      <w:r>
        <w:rPr>
          <w:lang w:bidi="ar-SA"/>
        </w:rPr>
        <w:t xml:space="preserve">. For frameshift mutations, </w:t>
      </w:r>
      <w:r w:rsidRPr="007A04CF">
        <w:rPr>
          <w:i/>
          <w:lang w:bidi="ar-SA"/>
        </w:rPr>
        <w:t>S</w:t>
      </w:r>
      <w:r>
        <w:rPr>
          <w:i/>
          <w:lang w:bidi="ar-SA"/>
        </w:rPr>
        <w:t>.</w:t>
      </w:r>
      <w:r w:rsidRPr="007A04CF">
        <w:rPr>
          <w:i/>
          <w:lang w:bidi="ar-SA"/>
        </w:rPr>
        <w:t xml:space="preserve"> typhimurium</w:t>
      </w:r>
      <w:r>
        <w:rPr>
          <w:lang w:bidi="ar-SA"/>
        </w:rPr>
        <w:t xml:space="preserve"> strains TA 1537 and TA 98 were used, </w:t>
      </w:r>
      <w:r w:rsidR="009823B2">
        <w:rPr>
          <w:lang w:bidi="ar-SA"/>
        </w:rPr>
        <w:t xml:space="preserve">and </w:t>
      </w:r>
      <w:r>
        <w:rPr>
          <w:lang w:bidi="ar-SA"/>
        </w:rPr>
        <w:t>for assay</w:t>
      </w:r>
      <w:r w:rsidR="008937DD">
        <w:rPr>
          <w:lang w:bidi="ar-SA"/>
        </w:rPr>
        <w:t>s</w:t>
      </w:r>
      <w:r>
        <w:rPr>
          <w:lang w:bidi="ar-SA"/>
        </w:rPr>
        <w:t xml:space="preserve"> for base-pair substitutions, </w:t>
      </w:r>
      <w:r w:rsidRPr="007A04CF">
        <w:rPr>
          <w:i/>
          <w:lang w:bidi="ar-SA"/>
        </w:rPr>
        <w:t>S. typhimurium</w:t>
      </w:r>
      <w:r>
        <w:rPr>
          <w:lang w:bidi="ar-SA"/>
        </w:rPr>
        <w:t xml:space="preserve"> strains TA 1535, TA 102 and TA 100 were used. For assays in the absence of metabolic activation (S9 mix), positive control substances were sodium azide in </w:t>
      </w:r>
      <w:r w:rsidR="00D27155">
        <w:rPr>
          <w:lang w:bidi="ar-SA"/>
        </w:rPr>
        <w:t xml:space="preserve">DI </w:t>
      </w:r>
      <w:r>
        <w:rPr>
          <w:lang w:bidi="ar-SA"/>
        </w:rPr>
        <w:t xml:space="preserve">water for TA 1535 and TA 100; 4-nitro-o-phenylene-diamine in DMSO for TA 1537 and TA 98; and methyl methanesulfonate in </w:t>
      </w:r>
      <w:r w:rsidR="00D27155">
        <w:rPr>
          <w:lang w:bidi="ar-SA"/>
        </w:rPr>
        <w:t xml:space="preserve">DI </w:t>
      </w:r>
      <w:r>
        <w:rPr>
          <w:lang w:bidi="ar-SA"/>
        </w:rPr>
        <w:t xml:space="preserve">water for TA 102. For assays in the presence of S9 mix for metabolic activation, 2-aminoanthracene in DMSO was used as the positive control for all test strains. </w:t>
      </w:r>
      <w:r w:rsidR="00D27155">
        <w:rPr>
          <w:lang w:bidi="ar-SA"/>
        </w:rPr>
        <w:t xml:space="preserve">As negative controls, concurrent untreated and solvent (DI water) control cultures were performed. </w:t>
      </w:r>
      <w:r w:rsidR="00067084">
        <w:rPr>
          <w:lang w:bidi="ar-SA"/>
        </w:rPr>
        <w:t xml:space="preserve">All assays were performed in triplicate. </w:t>
      </w:r>
    </w:p>
    <w:p w14:paraId="6641DB07" w14:textId="3F7ADE8D" w:rsidR="00067084" w:rsidRDefault="00067084" w:rsidP="00C15A6C">
      <w:pPr>
        <w:rPr>
          <w:lang w:bidi="ar-SA"/>
        </w:rPr>
      </w:pPr>
    </w:p>
    <w:p w14:paraId="01141D95" w14:textId="7D8165BF" w:rsidR="00067084" w:rsidRDefault="00067084" w:rsidP="00C15A6C">
      <w:pPr>
        <w:rPr>
          <w:lang w:bidi="ar-SA"/>
        </w:rPr>
      </w:pPr>
      <w:r>
        <w:rPr>
          <w:lang w:bidi="ar-SA"/>
        </w:rPr>
        <w:t xml:space="preserve">For Experiment 1, the test </w:t>
      </w:r>
      <w:r w:rsidR="00D85DE9">
        <w:rPr>
          <w:lang w:bidi="ar-SA"/>
        </w:rPr>
        <w:t xml:space="preserve">article </w:t>
      </w:r>
      <w:r>
        <w:rPr>
          <w:lang w:bidi="ar-SA"/>
        </w:rPr>
        <w:t xml:space="preserve">concentrations </w:t>
      </w:r>
      <w:r w:rsidR="00D85DE9">
        <w:rPr>
          <w:lang w:bidi="ar-SA"/>
        </w:rPr>
        <w:t>were</w:t>
      </w:r>
      <w:r>
        <w:rPr>
          <w:lang w:bidi="ar-SA"/>
        </w:rPr>
        <w:t xml:space="preserve"> 3, 10, 33, 100, 333, 1000, 2500 and 5000 </w:t>
      </w:r>
      <w:r>
        <w:rPr>
          <w:rFonts w:cs="Arial"/>
          <w:lang w:bidi="ar-SA"/>
        </w:rPr>
        <w:t>µ</w:t>
      </w:r>
      <w:r>
        <w:rPr>
          <w:lang w:bidi="ar-SA"/>
        </w:rPr>
        <w:t>g/plate</w:t>
      </w:r>
      <w:r w:rsidR="00D85DE9">
        <w:rPr>
          <w:lang w:bidi="ar-SA"/>
        </w:rPr>
        <w:t xml:space="preserve">, whereas for Experiment II the test article concentrations were 33, 100, 333, 1000, 2500 and 5000 </w:t>
      </w:r>
      <w:r w:rsidR="00D85DE9">
        <w:rPr>
          <w:rFonts w:cs="Arial"/>
          <w:lang w:bidi="ar-SA"/>
        </w:rPr>
        <w:t>µ</w:t>
      </w:r>
      <w:r w:rsidR="00D85DE9">
        <w:rPr>
          <w:lang w:bidi="ar-SA"/>
        </w:rPr>
        <w:t>g/plate</w:t>
      </w:r>
      <w:r>
        <w:rPr>
          <w:lang w:bidi="ar-SA"/>
        </w:rPr>
        <w:t xml:space="preserve">. </w:t>
      </w:r>
      <w:r w:rsidR="00C06675">
        <w:rPr>
          <w:lang w:bidi="ar-SA"/>
        </w:rPr>
        <w:t xml:space="preserve">In a test-tube 100 </w:t>
      </w:r>
      <w:r w:rsidR="00C06675">
        <w:rPr>
          <w:rFonts w:cs="Arial"/>
          <w:lang w:bidi="ar-SA"/>
        </w:rPr>
        <w:t xml:space="preserve">µL test solution, negative control or positive control; 500 µL of S9 mix or </w:t>
      </w:r>
      <w:r w:rsidR="00C06675">
        <w:rPr>
          <w:rFonts w:cs="Arial"/>
          <w:lang w:bidi="ar-SA"/>
        </w:rPr>
        <w:lastRenderedPageBreak/>
        <w:t xml:space="preserve">S9 mix substitution buffer; </w:t>
      </w:r>
      <w:r w:rsidR="00C06675">
        <w:rPr>
          <w:lang w:bidi="ar-SA"/>
        </w:rPr>
        <w:t xml:space="preserve">100 </w:t>
      </w:r>
      <w:r w:rsidR="00C06675">
        <w:rPr>
          <w:rFonts w:cs="Arial"/>
          <w:lang w:bidi="ar-SA"/>
        </w:rPr>
        <w:t>µ</w:t>
      </w:r>
      <w:r w:rsidR="00C06675">
        <w:rPr>
          <w:lang w:bidi="ar-SA"/>
        </w:rPr>
        <w:t xml:space="preserve">L of bacterial suspension; </w:t>
      </w:r>
      <w:r w:rsidR="00C06675">
        <w:rPr>
          <w:rFonts w:cs="Arial"/>
          <w:lang w:bidi="ar-SA"/>
        </w:rPr>
        <w:t>and 2000 µL overlay agar were mixed</w:t>
      </w:r>
      <w:r w:rsidR="009823B2">
        <w:rPr>
          <w:rFonts w:cs="Arial"/>
          <w:lang w:bidi="ar-SA"/>
        </w:rPr>
        <w:t>. For Experiment 1 (plate incorporation method), t</w:t>
      </w:r>
      <w:r w:rsidR="00C06675">
        <w:rPr>
          <w:rFonts w:cs="Arial"/>
          <w:lang w:bidi="ar-SA"/>
        </w:rPr>
        <w:t>he mixture was then poured on minimal agar plates</w:t>
      </w:r>
      <w:r w:rsidR="009823B2">
        <w:rPr>
          <w:rFonts w:cs="Arial"/>
          <w:lang w:bidi="ar-SA"/>
        </w:rPr>
        <w:t>, while for Experiment II (pre-incubation method)</w:t>
      </w:r>
      <w:r w:rsidR="00EB5CF3">
        <w:rPr>
          <w:rFonts w:cs="Arial"/>
          <w:lang w:bidi="ar-SA"/>
        </w:rPr>
        <w:t xml:space="preserve"> the mixture of test solution, S9 mix or substitution buffer and bacterial suspension was incubated at 37ºC for 60 min prior to addition of the overlay agar and pouring onto minimal agar plates</w:t>
      </w:r>
      <w:r w:rsidR="00C06675">
        <w:rPr>
          <w:rFonts w:cs="Arial"/>
          <w:lang w:bidi="ar-SA"/>
        </w:rPr>
        <w:t xml:space="preserve">. After solidification </w:t>
      </w:r>
      <w:r w:rsidR="00EB5CF3">
        <w:rPr>
          <w:rFonts w:cs="Arial"/>
          <w:lang w:bidi="ar-SA"/>
        </w:rPr>
        <w:t>all</w:t>
      </w:r>
      <w:r w:rsidR="00C06675">
        <w:rPr>
          <w:rFonts w:cs="Arial"/>
          <w:lang w:bidi="ar-SA"/>
        </w:rPr>
        <w:t xml:space="preserve"> plates were inverted and incubated for at least 48 h at 37º C after which bacterial colonies were counted.</w:t>
      </w:r>
    </w:p>
    <w:p w14:paraId="73CA7793" w14:textId="4E680AE4" w:rsidR="007A04CF" w:rsidRDefault="007A04CF" w:rsidP="00C15A6C">
      <w:pPr>
        <w:rPr>
          <w:lang w:bidi="ar-SA"/>
        </w:rPr>
      </w:pPr>
    </w:p>
    <w:p w14:paraId="0876AED7" w14:textId="514D748F" w:rsidR="00F424C2" w:rsidRDefault="00F424C2" w:rsidP="00C15A6C">
      <w:pPr>
        <w:rPr>
          <w:lang w:bidi="ar-SA"/>
        </w:rPr>
      </w:pPr>
      <w:r>
        <w:rPr>
          <w:lang w:bidi="ar-SA"/>
        </w:rPr>
        <w:t xml:space="preserve">No toxic effects were observed in any test group, with or without metabolic activation, and no biologically significant increase in revertant colony numbers was observed in any of tester strains following incubation with any of the tested concentrations of the test article. The expected increases in induced revertant colonies were observed with all positive controls. It was concluded that under the conditions of the assays, there was no evidence that the test article induced either base pair changes or frame shift mutations in any of the test strains. </w:t>
      </w:r>
    </w:p>
    <w:p w14:paraId="768396D0" w14:textId="77777777" w:rsidR="007A04CF" w:rsidRDefault="007A04CF" w:rsidP="00C15A6C">
      <w:pPr>
        <w:rPr>
          <w:b/>
          <w:i/>
          <w:lang w:bidi="ar-SA"/>
        </w:rPr>
      </w:pPr>
    </w:p>
    <w:p w14:paraId="4F0462D2" w14:textId="5F142BB4" w:rsidR="00C15A6C" w:rsidRDefault="00AA78CC" w:rsidP="00C15A6C">
      <w:pPr>
        <w:rPr>
          <w:i/>
          <w:lang w:bidi="ar-SA"/>
        </w:rPr>
      </w:pPr>
      <w:r w:rsidRPr="00AA78CC">
        <w:rPr>
          <w:i/>
          <w:lang w:bidi="ar-SA"/>
        </w:rPr>
        <w:t xml:space="preserve">Chromosome </w:t>
      </w:r>
      <w:r>
        <w:rPr>
          <w:i/>
          <w:lang w:bidi="ar-SA"/>
        </w:rPr>
        <w:t xml:space="preserve">aberration test in Chinese hamster V79 cells  </w:t>
      </w:r>
      <w:r w:rsidRPr="0037063D">
        <w:rPr>
          <w:i/>
          <w:lang w:bidi="ar-SA"/>
        </w:rPr>
        <w:t>(</w:t>
      </w:r>
      <w:r>
        <w:rPr>
          <w:i/>
          <w:lang w:bidi="ar-SA"/>
        </w:rPr>
        <w:t>RCC-Cytotest Cell Research GmbH</w:t>
      </w:r>
      <w:r w:rsidR="009E0576">
        <w:rPr>
          <w:i/>
          <w:lang w:bidi="ar-SA"/>
        </w:rPr>
        <w:t>, Study Number 1155102,  April</w:t>
      </w:r>
      <w:r>
        <w:rPr>
          <w:i/>
          <w:lang w:bidi="ar-SA"/>
        </w:rPr>
        <w:t xml:space="preserve"> 2008) Regulatory status: GLP</w:t>
      </w:r>
      <w:r w:rsidR="0086342E">
        <w:rPr>
          <w:i/>
          <w:lang w:bidi="ar-SA"/>
        </w:rPr>
        <w:t>.</w:t>
      </w:r>
      <w:r w:rsidR="0086342E" w:rsidRPr="0086342E">
        <w:t xml:space="preserve"> </w:t>
      </w:r>
      <w:r w:rsidR="0086342E" w:rsidRPr="0086342E">
        <w:rPr>
          <w:i/>
          <w:lang w:bidi="ar-SA"/>
        </w:rPr>
        <w:t>Conducted in compliance with Ninth Addendum to OECD Guidelines for Testing of Chemicals, Section 4, No. 47</w:t>
      </w:r>
      <w:r w:rsidR="0086342E">
        <w:rPr>
          <w:i/>
          <w:lang w:bidi="ar-SA"/>
        </w:rPr>
        <w:t>3</w:t>
      </w:r>
      <w:r w:rsidR="0086342E" w:rsidRPr="0086342E">
        <w:rPr>
          <w:i/>
          <w:lang w:bidi="ar-SA"/>
        </w:rPr>
        <w:t xml:space="preserve"> (July 21, 1997) and Commission Directiv</w:t>
      </w:r>
      <w:r w:rsidR="0086342E">
        <w:rPr>
          <w:i/>
          <w:lang w:bidi="ar-SA"/>
        </w:rPr>
        <w:t>e 2000/32/EC, L1362000, Annex 4A</w:t>
      </w:r>
      <w:r w:rsidR="0086342E" w:rsidRPr="0086342E">
        <w:rPr>
          <w:i/>
          <w:lang w:bidi="ar-SA"/>
        </w:rPr>
        <w:t xml:space="preserve"> (May 19, 2000).</w:t>
      </w:r>
    </w:p>
    <w:p w14:paraId="390D07AE" w14:textId="54E5FD10" w:rsidR="00AA78CC" w:rsidRDefault="00AA78CC" w:rsidP="00C15A6C">
      <w:pPr>
        <w:rPr>
          <w:i/>
          <w:lang w:bidi="ar-SA"/>
        </w:rPr>
      </w:pPr>
    </w:p>
    <w:p w14:paraId="0858178F" w14:textId="0ABBB6A4" w:rsidR="00AA78CC" w:rsidRDefault="00AA78CC" w:rsidP="00AA78CC">
      <w:pPr>
        <w:rPr>
          <w:lang w:bidi="ar-SA"/>
        </w:rPr>
      </w:pPr>
      <w:r>
        <w:rPr>
          <w:lang w:bidi="ar-SA"/>
        </w:rPr>
        <w:t xml:space="preserve">The test article for this study was the lysophospholipase from </w:t>
      </w:r>
      <w:r w:rsidRPr="0037063D">
        <w:rPr>
          <w:i/>
          <w:lang w:bidi="ar-SA"/>
        </w:rPr>
        <w:t>T</w:t>
      </w:r>
      <w:r w:rsidR="006636AA">
        <w:rPr>
          <w:i/>
          <w:lang w:bidi="ar-SA"/>
        </w:rPr>
        <w:t>.</w:t>
      </w:r>
      <w:r w:rsidRPr="0037063D">
        <w:rPr>
          <w:i/>
          <w:lang w:bidi="ar-SA"/>
        </w:rPr>
        <w:t xml:space="preserve"> reesei</w:t>
      </w:r>
      <w:r>
        <w:rPr>
          <w:lang w:bidi="ar-SA"/>
        </w:rPr>
        <w:t xml:space="preserve"> RF7206. The purity of the batch was not provided to the testing laboratory by the sponsor. Test article was dissolved in DI water on the day of the experiment. The final concentration of water in the culture medium was 10% v/v. Positive control substances were ethylmethane sulfonate dissolved in nutrient medium for assays without metabolic activation, and cyclophosphamide dissolved in saline (9% w/v) for assays </w:t>
      </w:r>
      <w:r w:rsidR="00A067E4">
        <w:rPr>
          <w:lang w:bidi="ar-SA"/>
        </w:rPr>
        <w:t xml:space="preserve">with metabolic activation (S9 mix). </w:t>
      </w:r>
      <w:r w:rsidR="002F0955">
        <w:rPr>
          <w:lang w:bidi="ar-SA"/>
        </w:rPr>
        <w:t xml:space="preserve">The test system comprised Chinese hamster lung fibroblast V79 cells. </w:t>
      </w:r>
    </w:p>
    <w:p w14:paraId="13B32D4F" w14:textId="28EECE85" w:rsidR="00A067E4" w:rsidRDefault="00A067E4" w:rsidP="00AA78CC">
      <w:pPr>
        <w:rPr>
          <w:lang w:bidi="ar-SA"/>
        </w:rPr>
      </w:pPr>
    </w:p>
    <w:p w14:paraId="6C758F51" w14:textId="7B598666" w:rsidR="00A067E4" w:rsidRDefault="00A067E4" w:rsidP="00AA78CC">
      <w:pPr>
        <w:rPr>
          <w:lang w:bidi="ar-SA"/>
        </w:rPr>
      </w:pPr>
      <w:r>
        <w:rPr>
          <w:lang w:bidi="ar-SA"/>
        </w:rPr>
        <w:t xml:space="preserve">A </w:t>
      </w:r>
      <w:r w:rsidR="006A2E22">
        <w:rPr>
          <w:lang w:bidi="ar-SA"/>
        </w:rPr>
        <w:t>range-finding pre</w:t>
      </w:r>
      <w:r w:rsidR="00DE7ACB">
        <w:rPr>
          <w:lang w:bidi="ar-SA"/>
        </w:rPr>
        <w:t>-</w:t>
      </w:r>
      <w:r w:rsidR="006A2E22">
        <w:rPr>
          <w:lang w:bidi="ar-SA"/>
        </w:rPr>
        <w:t>test</w:t>
      </w:r>
      <w:r>
        <w:rPr>
          <w:lang w:bidi="ar-SA"/>
        </w:rPr>
        <w:t xml:space="preserve"> was performed to determine the cytotoxicity of the test article</w:t>
      </w:r>
      <w:r w:rsidR="006A2E22">
        <w:rPr>
          <w:lang w:bidi="ar-SA"/>
        </w:rPr>
        <w:t xml:space="preserve">. </w:t>
      </w:r>
      <w:r w:rsidR="002F0955">
        <w:rPr>
          <w:lang w:bidi="ar-SA"/>
        </w:rPr>
        <w:t>V79 c</w:t>
      </w:r>
      <w:r>
        <w:rPr>
          <w:lang w:bidi="ar-SA"/>
        </w:rPr>
        <w:t>ell</w:t>
      </w:r>
      <w:r w:rsidR="006A2E22">
        <w:rPr>
          <w:lang w:bidi="ar-SA"/>
        </w:rPr>
        <w:t>s</w:t>
      </w:r>
      <w:r>
        <w:rPr>
          <w:lang w:bidi="ar-SA"/>
        </w:rPr>
        <w:t xml:space="preserve"> </w:t>
      </w:r>
      <w:r w:rsidR="002F0955">
        <w:rPr>
          <w:lang w:bidi="ar-SA"/>
        </w:rPr>
        <w:t xml:space="preserve">were </w:t>
      </w:r>
      <w:r>
        <w:rPr>
          <w:lang w:bidi="ar-SA"/>
        </w:rPr>
        <w:t>incubat</w:t>
      </w:r>
      <w:r w:rsidR="006A2E22">
        <w:rPr>
          <w:lang w:bidi="ar-SA"/>
        </w:rPr>
        <w:t>ed</w:t>
      </w:r>
      <w:r>
        <w:rPr>
          <w:lang w:bidi="ar-SA"/>
        </w:rPr>
        <w:t xml:space="preserve"> in the presence of the test article at concentrations of 0, 39.1, 78.1, 156.3, </w:t>
      </w:r>
      <w:r w:rsidR="00CA3967">
        <w:rPr>
          <w:lang w:bidi="ar-SA"/>
        </w:rPr>
        <w:t xml:space="preserve">312.5, 625, 1250, 2500 and </w:t>
      </w:r>
      <w:r>
        <w:rPr>
          <w:lang w:bidi="ar-SA"/>
        </w:rPr>
        <w:t xml:space="preserve">5000 </w:t>
      </w:r>
      <w:r>
        <w:rPr>
          <w:rFonts w:cs="Arial"/>
          <w:lang w:bidi="ar-SA"/>
        </w:rPr>
        <w:t>µ</w:t>
      </w:r>
      <w:r>
        <w:rPr>
          <w:lang w:bidi="ar-SA"/>
        </w:rPr>
        <w:t xml:space="preserve">g/mL. </w:t>
      </w:r>
      <w:r w:rsidR="00CA3967">
        <w:rPr>
          <w:lang w:bidi="ar-SA"/>
        </w:rPr>
        <w:t>Incubations were conducted either with or without S9 mix for 4 hours, and without S9 mix for 24 hours. At the end of incubation, c</w:t>
      </w:r>
      <w:r>
        <w:rPr>
          <w:lang w:bidi="ar-SA"/>
        </w:rPr>
        <w:t xml:space="preserve">ells were stained and counted. </w:t>
      </w:r>
      <w:r w:rsidR="00CA3967">
        <w:rPr>
          <w:lang w:bidi="ar-SA"/>
        </w:rPr>
        <w:t xml:space="preserve">All incubations were conducted in duplicate. No cytotoxic effects were observed. </w:t>
      </w:r>
      <w:r w:rsidR="0098487D">
        <w:rPr>
          <w:lang w:bidi="ar-SA"/>
        </w:rPr>
        <w:t xml:space="preserve">The highest dose tested was therefore selected as the high dose for the chromosomal aberration assays. </w:t>
      </w:r>
    </w:p>
    <w:p w14:paraId="62E9ECA5" w14:textId="662EA97B" w:rsidR="0098487D" w:rsidRDefault="0098487D" w:rsidP="00AA78CC">
      <w:pPr>
        <w:rPr>
          <w:lang w:bidi="ar-SA"/>
        </w:rPr>
      </w:pPr>
    </w:p>
    <w:p w14:paraId="2728AE0D" w14:textId="479189A0" w:rsidR="0098487D" w:rsidRDefault="0098487D" w:rsidP="00AA78CC">
      <w:pPr>
        <w:rPr>
          <w:lang w:bidi="ar-SA"/>
        </w:rPr>
      </w:pPr>
      <w:r>
        <w:rPr>
          <w:lang w:bidi="ar-SA"/>
        </w:rPr>
        <w:t xml:space="preserve">Two independent experiments were conducted. Concentrations of test article in both experiments were 156.3, 312.5, 625, 1250, 2500 and 5000 </w:t>
      </w:r>
      <w:r>
        <w:rPr>
          <w:rFonts w:cs="Arial"/>
          <w:lang w:bidi="ar-SA"/>
        </w:rPr>
        <w:t>µ</w:t>
      </w:r>
      <w:r w:rsidR="00B960BA">
        <w:rPr>
          <w:lang w:bidi="ar-SA"/>
        </w:rPr>
        <w:t>g/m</w:t>
      </w:r>
      <w:r w:rsidR="00190327">
        <w:rPr>
          <w:lang w:bidi="ar-SA"/>
        </w:rPr>
        <w:t>L</w:t>
      </w:r>
      <w:r w:rsidR="00B960BA">
        <w:rPr>
          <w:lang w:bidi="ar-SA"/>
        </w:rPr>
        <w:t xml:space="preserve">, but only the three highest concentrations were scored. </w:t>
      </w:r>
      <w:r w:rsidR="00970CFA">
        <w:rPr>
          <w:lang w:bidi="ar-SA"/>
        </w:rPr>
        <w:t xml:space="preserve">Both experiments were conducted in duplicate. In Experiment I, cells, with or without S9 mix, were exposed to the test article for 4 hours and then the culture medium was changed, and incubation continued for a further 14 hours, after which cells </w:t>
      </w:r>
      <w:r w:rsidR="00970CFA">
        <w:rPr>
          <w:lang w:bidi="ar-SA"/>
        </w:rPr>
        <w:lastRenderedPageBreak/>
        <w:t xml:space="preserve">were stained and counted. In Experiment II, the same conditions as in Experiment I were applied in the presence of S9 mix, but for the assay without S9 mix, the cells were exposed to the test article for the full 18-hour incubation. No structural chromosome aberrations were observed. The positive controls induced statistically significant increases in the incidence of structural chromosomal aberrations, confirming the validity of the assays. </w:t>
      </w:r>
    </w:p>
    <w:p w14:paraId="6D0BF5E9" w14:textId="52D1D3EC" w:rsidR="00970CFA" w:rsidRDefault="00970CFA" w:rsidP="00AA78CC">
      <w:pPr>
        <w:rPr>
          <w:lang w:bidi="ar-SA"/>
        </w:rPr>
      </w:pPr>
    </w:p>
    <w:p w14:paraId="56BBF61A" w14:textId="6D6ADA78" w:rsidR="00970CFA" w:rsidRPr="00D4456E" w:rsidRDefault="00970CFA" w:rsidP="00AA78CC">
      <w:pPr>
        <w:rPr>
          <w:lang w:val="en-NZ" w:bidi="ar-SA"/>
        </w:rPr>
      </w:pPr>
      <w:r>
        <w:rPr>
          <w:lang w:bidi="ar-SA"/>
        </w:rPr>
        <w:t xml:space="preserve">It was concluded that lysophospholipase is not clastogenic under the experimental conditions used. </w:t>
      </w:r>
    </w:p>
    <w:p w14:paraId="2B37A289" w14:textId="053D5430" w:rsidR="00C15A6C" w:rsidRDefault="00C15A6C" w:rsidP="001E6A7B">
      <w:pPr>
        <w:pStyle w:val="Heading3"/>
      </w:pPr>
      <w:bookmarkStart w:id="57" w:name="_Toc528851102"/>
      <w:r>
        <w:t>3.</w:t>
      </w:r>
      <w:r w:rsidR="00A07714">
        <w:t>3</w:t>
      </w:r>
      <w:r>
        <w:t>.4</w:t>
      </w:r>
      <w:r w:rsidR="0035149D">
        <w:tab/>
      </w:r>
      <w:r w:rsidR="009F4D72">
        <w:t>P</w:t>
      </w:r>
      <w:r>
        <w:t>otential for toxicity</w:t>
      </w:r>
      <w:bookmarkEnd w:id="57"/>
      <w:r>
        <w:t xml:space="preserve"> </w:t>
      </w:r>
    </w:p>
    <w:p w14:paraId="49D907F0" w14:textId="21E05FFB" w:rsidR="009C7293" w:rsidRDefault="00095A54" w:rsidP="00095A54">
      <w:pPr>
        <w:rPr>
          <w:lang w:bidi="ar-SA"/>
        </w:rPr>
      </w:pPr>
      <w:r>
        <w:rPr>
          <w:lang w:bidi="ar-SA"/>
        </w:rPr>
        <w:t>A homology search was performed using the BLAST-P program, version 2.6.1+ (</w:t>
      </w:r>
      <w:hyperlink r:id="rId25" w:history="1">
        <w:r w:rsidRPr="004A1CE6">
          <w:rPr>
            <w:rStyle w:val="Hyperlink"/>
            <w:lang w:bidi="ar-SA"/>
          </w:rPr>
          <w:t>http://blast.ncbi.nlm.nih.gov/</w:t>
        </w:r>
      </w:hyperlink>
      <w:r>
        <w:rPr>
          <w:lang w:bidi="ar-SA"/>
        </w:rPr>
        <w:t xml:space="preserve">), using the amino acid sequence of the lysophospholipase </w:t>
      </w:r>
      <w:r w:rsidR="009C7293">
        <w:rPr>
          <w:lang w:bidi="ar-SA"/>
        </w:rPr>
        <w:t xml:space="preserve">that is the subject of this application </w:t>
      </w:r>
      <w:r>
        <w:rPr>
          <w:lang w:bidi="ar-SA"/>
        </w:rPr>
        <w:t xml:space="preserve">as the query sequence. </w:t>
      </w:r>
      <w:r w:rsidR="00AB47E7">
        <w:rPr>
          <w:lang w:bidi="ar-SA"/>
        </w:rPr>
        <w:t xml:space="preserve">An additional search criterion was to limit the search to sequences related to toxins. </w:t>
      </w:r>
      <w:r w:rsidR="009C7293">
        <w:rPr>
          <w:lang w:bidi="ar-SA"/>
        </w:rPr>
        <w:t xml:space="preserve">To evaluate the significance of reported matches, control searches were conducted using five different shuffled versions of the amino acid sequence of the </w:t>
      </w:r>
      <w:r w:rsidR="006636AA">
        <w:rPr>
          <w:lang w:bidi="ar-SA"/>
        </w:rPr>
        <w:t xml:space="preserve">lysophospholipase </w:t>
      </w:r>
      <w:r w:rsidR="009C7293">
        <w:rPr>
          <w:lang w:bidi="ar-SA"/>
        </w:rPr>
        <w:t xml:space="preserve">that is the subject of this application. For all searches, the hit size value was increased from the default value of 100 to the maximum value of 20,000, while the E-value threshold was decreased from 10 to 100. Both of these alterations from the control values maximised the chance of even very weak matches being identified. </w:t>
      </w:r>
    </w:p>
    <w:p w14:paraId="4DB496D4" w14:textId="77777777" w:rsidR="009C7293" w:rsidRDefault="009C7293" w:rsidP="00095A54">
      <w:pPr>
        <w:rPr>
          <w:lang w:bidi="ar-SA"/>
        </w:rPr>
      </w:pPr>
    </w:p>
    <w:p w14:paraId="0918767D" w14:textId="4A4D23BC" w:rsidR="00C15A6C" w:rsidRDefault="009C7293" w:rsidP="00095A54">
      <w:pPr>
        <w:rPr>
          <w:lang w:bidi="ar-SA"/>
        </w:rPr>
      </w:pPr>
      <w:r>
        <w:rPr>
          <w:lang w:bidi="ar-SA"/>
        </w:rPr>
        <w:t xml:space="preserve">The search was conducted in October of 2017. </w:t>
      </w:r>
      <w:r w:rsidR="00095A54">
        <w:rPr>
          <w:lang w:bidi="ar-SA"/>
        </w:rPr>
        <w:t xml:space="preserve">No significant homology to any known protein toxin was found. </w:t>
      </w:r>
    </w:p>
    <w:p w14:paraId="382E8460" w14:textId="484F5F18" w:rsidR="00C15A6C" w:rsidRDefault="007B70AE" w:rsidP="001E6A7B">
      <w:pPr>
        <w:pStyle w:val="Heading3"/>
      </w:pPr>
      <w:bookmarkStart w:id="58" w:name="_Toc528851103"/>
      <w:r>
        <w:t>3.3</w:t>
      </w:r>
      <w:r w:rsidR="00C15A6C">
        <w:t>.5</w:t>
      </w:r>
      <w:r w:rsidR="0035149D">
        <w:tab/>
      </w:r>
      <w:r w:rsidR="009F4D72">
        <w:t>P</w:t>
      </w:r>
      <w:r w:rsidR="00C15A6C">
        <w:t>otential for allergenicity</w:t>
      </w:r>
      <w:bookmarkEnd w:id="58"/>
      <w:r w:rsidR="00C15A6C">
        <w:t xml:space="preserve"> </w:t>
      </w:r>
    </w:p>
    <w:p w14:paraId="668DBE04" w14:textId="3DF927D5" w:rsidR="00C15A6C" w:rsidRDefault="005E150C" w:rsidP="00C15A6C">
      <w:pPr>
        <w:rPr>
          <w:lang w:bidi="ar-SA"/>
        </w:rPr>
      </w:pPr>
      <w:r w:rsidRPr="005E150C">
        <w:rPr>
          <w:lang w:bidi="ar-SA"/>
        </w:rPr>
        <w:t>Sequence</w:t>
      </w:r>
      <w:r>
        <w:rPr>
          <w:lang w:bidi="ar-SA"/>
        </w:rPr>
        <w:t xml:space="preserve"> homology searches between the mature </w:t>
      </w:r>
      <w:r w:rsidRPr="005E150C">
        <w:rPr>
          <w:i/>
          <w:lang w:bidi="ar-SA"/>
        </w:rPr>
        <w:t>A. nishimurae LPL</w:t>
      </w:r>
      <w:r>
        <w:rPr>
          <w:i/>
          <w:lang w:bidi="ar-SA"/>
        </w:rPr>
        <w:t xml:space="preserve"> </w:t>
      </w:r>
      <w:r>
        <w:rPr>
          <w:lang w:bidi="ar-SA"/>
        </w:rPr>
        <w:t xml:space="preserve">amino acid sequence and the sequences in two allergen databases were conducted. The allergen databases were AllergenOnline (FARRP) </w:t>
      </w:r>
      <w:r w:rsidR="009F76B5">
        <w:rPr>
          <w:lang w:bidi="ar-SA"/>
        </w:rPr>
        <w:t>(</w:t>
      </w:r>
      <w:hyperlink r:id="rId26" w:history="1">
        <w:r w:rsidR="009F76B5" w:rsidRPr="004A1CE6">
          <w:rPr>
            <w:rStyle w:val="Hyperlink"/>
            <w:lang w:bidi="ar-SA"/>
          </w:rPr>
          <w:t>http://www.allergenonline.org/</w:t>
        </w:r>
      </w:hyperlink>
      <w:r w:rsidR="009F76B5">
        <w:rPr>
          <w:lang w:bidi="ar-SA"/>
        </w:rPr>
        <w:t xml:space="preserve">) </w:t>
      </w:r>
      <w:r>
        <w:rPr>
          <w:lang w:bidi="ar-SA"/>
        </w:rPr>
        <w:t>and Allergen Database for Food Safety (ADFS)</w:t>
      </w:r>
      <w:r w:rsidR="009F76B5">
        <w:rPr>
          <w:lang w:bidi="ar-SA"/>
        </w:rPr>
        <w:t xml:space="preserve"> (</w:t>
      </w:r>
      <w:hyperlink r:id="rId27" w:history="1">
        <w:r w:rsidR="00D838D3" w:rsidRPr="004A1CE6">
          <w:rPr>
            <w:rStyle w:val="Hyperlink"/>
            <w:lang w:bidi="ar-SA"/>
          </w:rPr>
          <w:t>http://allergen.nihs.go.jp/ADFS/</w:t>
        </w:r>
      </w:hyperlink>
      <w:r w:rsidR="00D838D3">
        <w:rPr>
          <w:lang w:bidi="ar-SA"/>
        </w:rPr>
        <w:t>)</w:t>
      </w:r>
      <w:r>
        <w:rPr>
          <w:lang w:bidi="ar-SA"/>
        </w:rPr>
        <w:t>. The alignment methods were</w:t>
      </w:r>
      <w:r w:rsidR="00D45911">
        <w:rPr>
          <w:lang w:bidi="ar-SA"/>
        </w:rPr>
        <w:t>:</w:t>
      </w:r>
      <w:r>
        <w:rPr>
          <w:lang w:bidi="ar-SA"/>
        </w:rPr>
        <w:t xml:space="preserve"> </w:t>
      </w:r>
    </w:p>
    <w:p w14:paraId="4B064486" w14:textId="77777777" w:rsidR="00D45911" w:rsidRDefault="00D45911" w:rsidP="00C15A6C">
      <w:pPr>
        <w:rPr>
          <w:lang w:bidi="ar-SA"/>
        </w:rPr>
      </w:pPr>
    </w:p>
    <w:p w14:paraId="23B96F2A" w14:textId="77777777" w:rsidR="005E150C" w:rsidRDefault="005E150C" w:rsidP="005E150C">
      <w:pPr>
        <w:pStyle w:val="ListParagraph"/>
        <w:numPr>
          <w:ilvl w:val="0"/>
          <w:numId w:val="6"/>
        </w:numPr>
      </w:pPr>
      <w:r>
        <w:t>Alignment of the entire amino acid sequence to sequences in the databases</w:t>
      </w:r>
    </w:p>
    <w:p w14:paraId="5B090338" w14:textId="77777777" w:rsidR="005E150C" w:rsidRDefault="005E150C" w:rsidP="005E150C">
      <w:pPr>
        <w:pStyle w:val="ListParagraph"/>
        <w:numPr>
          <w:ilvl w:val="0"/>
          <w:numId w:val="6"/>
        </w:numPr>
      </w:pPr>
      <w:r>
        <w:t>Alignment of sliding 80 amino acid windows of the enzyme amino acid sequence to known allergens</w:t>
      </w:r>
    </w:p>
    <w:p w14:paraId="050863BE" w14:textId="77777777" w:rsidR="005E150C" w:rsidRDefault="005E150C" w:rsidP="005E150C">
      <w:pPr>
        <w:pStyle w:val="ListParagraph"/>
        <w:numPr>
          <w:ilvl w:val="0"/>
          <w:numId w:val="6"/>
        </w:numPr>
      </w:pPr>
      <w:r>
        <w:t xml:space="preserve">For the ADFS search, the motif-based method. </w:t>
      </w:r>
    </w:p>
    <w:p w14:paraId="35AC0CF6" w14:textId="77777777" w:rsidR="005E150C" w:rsidRDefault="005E150C" w:rsidP="005E150C"/>
    <w:p w14:paraId="020BDCA6" w14:textId="09AF496A" w:rsidR="005E150C" w:rsidRDefault="005E150C" w:rsidP="005E150C">
      <w:r>
        <w:t xml:space="preserve">These searches are consistent with recommendations of EFSA (2010) and FAO/WHO (2001). </w:t>
      </w:r>
      <w:r w:rsidR="006C2320">
        <w:t>In addition, a search for sequences of 8 identical amino acids</w:t>
      </w:r>
      <w:r>
        <w:t xml:space="preserve"> </w:t>
      </w:r>
      <w:r w:rsidR="006C2320">
        <w:t xml:space="preserve">was conducted using the FARRP database. The alignment tools FASTA and BLAST were used, and the default alignment parameter settings, were used for each search. </w:t>
      </w:r>
      <w:r w:rsidR="008A46D5">
        <w:t xml:space="preserve">The database searches were performed in January 2015. </w:t>
      </w:r>
    </w:p>
    <w:p w14:paraId="4796BCEB" w14:textId="2C866264" w:rsidR="006C2320" w:rsidRDefault="006C2320" w:rsidP="005E150C"/>
    <w:p w14:paraId="2E6E16E5" w14:textId="69E9F496" w:rsidR="008A46D5" w:rsidRDefault="001516A3" w:rsidP="005E150C">
      <w:r>
        <w:t xml:space="preserve">No alignments were identified between the PL mature amino acid sequence and sequences in the ADFS database. Alignments in the FARRP database </w:t>
      </w:r>
      <w:r>
        <w:lastRenderedPageBreak/>
        <w:t>were below the 35% identity limit</w:t>
      </w:r>
      <w:r w:rsidR="008A46D5">
        <w:t xml:space="preserve"> identified by Codex (Codex Alimentarius, 2003)</w:t>
      </w:r>
      <w:r>
        <w:t>. The allergen Tha p 2 from the pine processionary moth (</w:t>
      </w:r>
      <w:r w:rsidRPr="001516A3">
        <w:rPr>
          <w:i/>
        </w:rPr>
        <w:t>Thaumetopoea pityocampa</w:t>
      </w:r>
      <w:r>
        <w:t xml:space="preserve">) showed 34.2% identity in a 38 amino acid overlap with the LPL sequence. </w:t>
      </w:r>
      <w:r w:rsidR="00435466">
        <w:t xml:space="preserve">There were also five hits of 33.8% identity in a 68 amino acid overlap with </w:t>
      </w:r>
      <w:r w:rsidR="008A46D5">
        <w:t>an allergen from soybean (</w:t>
      </w:r>
      <w:r w:rsidR="008A46D5" w:rsidRPr="008A46D5">
        <w:rPr>
          <w:i/>
        </w:rPr>
        <w:t>Glycine max</w:t>
      </w:r>
      <w:r w:rsidR="008A46D5">
        <w:t xml:space="preserve">). E-values were in the range 0.31 to 0.82. </w:t>
      </w:r>
      <w:r w:rsidR="008A46D5" w:rsidRPr="008A46D5">
        <w:t>E-values larger than 1 x 10</w:t>
      </w:r>
      <w:r w:rsidR="008A46D5" w:rsidRPr="0086342E">
        <w:rPr>
          <w:vertAlign w:val="superscript"/>
        </w:rPr>
        <w:t>-7</w:t>
      </w:r>
      <w:r w:rsidR="008A46D5" w:rsidRPr="008A46D5">
        <w:t xml:space="preserve"> are considered unlikely to represent proteins that may share immunologic or allergic cross-reactivity (Hileman et al., 2002).</w:t>
      </w:r>
    </w:p>
    <w:p w14:paraId="4F5903F2" w14:textId="39E7F218" w:rsidR="008A46D5" w:rsidRDefault="008A46D5" w:rsidP="005E150C"/>
    <w:p w14:paraId="123F6660" w14:textId="42F64A0A" w:rsidR="008A46D5" w:rsidRDefault="008A46D5" w:rsidP="005E150C">
      <w:r>
        <w:t xml:space="preserve">No matches with &gt;35% identity were found using the 80 amino acid sliding window. No matches were found using the 8 amino acid sliding window in the FARRP database, and no hits were found </w:t>
      </w:r>
      <w:r w:rsidR="005E2C43">
        <w:t xml:space="preserve">in the ADFS database </w:t>
      </w:r>
      <w:r>
        <w:t xml:space="preserve">when the allergenicity </w:t>
      </w:r>
      <w:r w:rsidR="005E2C43">
        <w:t xml:space="preserve">was predicted using a motif-based method. </w:t>
      </w:r>
    </w:p>
    <w:p w14:paraId="7D834CA1" w14:textId="417ADDEC" w:rsidR="009F4D72" w:rsidRDefault="009F4D72" w:rsidP="005E150C"/>
    <w:p w14:paraId="21A076C3" w14:textId="444FAF93" w:rsidR="009F4D72" w:rsidRDefault="00A66EA8" w:rsidP="005E150C">
      <w:r>
        <w:t xml:space="preserve">The enzyme preparation may contain traces of wheat. </w:t>
      </w:r>
    </w:p>
    <w:p w14:paraId="50E61499" w14:textId="488CCDFC" w:rsidR="00C15A6C" w:rsidRDefault="007B70AE" w:rsidP="001E6A7B">
      <w:pPr>
        <w:pStyle w:val="Heading3"/>
      </w:pPr>
      <w:bookmarkStart w:id="59" w:name="_Toc528851104"/>
      <w:r>
        <w:t>3.3</w:t>
      </w:r>
      <w:r w:rsidR="00C15A6C">
        <w:t>.6</w:t>
      </w:r>
      <w:r w:rsidR="0035149D">
        <w:tab/>
      </w:r>
      <w:r w:rsidR="00C15A6C">
        <w:t>Approvals by other regulatory agencies</w:t>
      </w:r>
      <w:bookmarkEnd w:id="59"/>
    </w:p>
    <w:p w14:paraId="771072FB" w14:textId="77777777" w:rsidR="00A30707" w:rsidRDefault="00A30707" w:rsidP="00A30707">
      <w:pPr>
        <w:autoSpaceDE w:val="0"/>
        <w:autoSpaceDN w:val="0"/>
        <w:adjustRightInd w:val="0"/>
        <w:rPr>
          <w:rFonts w:cs="Arial"/>
        </w:rPr>
      </w:pPr>
      <w:r>
        <w:rPr>
          <w:rFonts w:cs="Arial"/>
        </w:rPr>
        <w:t>In 2013, the French National Agency for Food, Environmental and Occupational Health &amp; Safety (ANSES) approved the enzyme for the intended use (</w:t>
      </w:r>
      <w:hyperlink r:id="rId28" w:history="1">
        <w:r w:rsidRPr="00CE1C7B">
          <w:rPr>
            <w:rStyle w:val="Hyperlink"/>
            <w:rFonts w:cs="Arial"/>
          </w:rPr>
          <w:t>Application # 2012-SA-0259</w:t>
        </w:r>
      </w:hyperlink>
      <w:r>
        <w:rPr>
          <w:rStyle w:val="FootnoteReference"/>
          <w:rFonts w:cs="Arial"/>
        </w:rPr>
        <w:footnoteReference w:id="11"/>
      </w:r>
      <w:r>
        <w:rPr>
          <w:rFonts w:cs="Arial"/>
        </w:rPr>
        <w:t xml:space="preserve">). </w:t>
      </w:r>
    </w:p>
    <w:p w14:paraId="78781DD1" w14:textId="77777777" w:rsidR="00A30707" w:rsidRDefault="00A30707" w:rsidP="007159D8">
      <w:pPr>
        <w:autoSpaceDE w:val="0"/>
        <w:autoSpaceDN w:val="0"/>
        <w:adjustRightInd w:val="0"/>
        <w:rPr>
          <w:rFonts w:cs="Arial"/>
        </w:rPr>
      </w:pPr>
    </w:p>
    <w:p w14:paraId="01D525BF" w14:textId="7D99946F" w:rsidR="00A30707" w:rsidRDefault="007159D8" w:rsidP="007159D8">
      <w:pPr>
        <w:autoSpaceDE w:val="0"/>
        <w:autoSpaceDN w:val="0"/>
        <w:adjustRightInd w:val="0"/>
        <w:rPr>
          <w:rFonts w:cs="Arial"/>
        </w:rPr>
      </w:pPr>
      <w:r>
        <w:rPr>
          <w:rFonts w:cs="Arial"/>
        </w:rPr>
        <w:t xml:space="preserve">The United States Food &amp; Drug Administration (FDA) </w:t>
      </w:r>
      <w:r w:rsidR="007C7FB1">
        <w:rPr>
          <w:rFonts w:cs="Arial"/>
        </w:rPr>
        <w:t xml:space="preserve">responded to a </w:t>
      </w:r>
      <w:r>
        <w:rPr>
          <w:rFonts w:cs="Arial"/>
        </w:rPr>
        <w:t xml:space="preserve">Generally Recognised as Safe (GRAS) </w:t>
      </w:r>
      <w:r w:rsidR="007C7FB1">
        <w:rPr>
          <w:rFonts w:cs="Arial"/>
        </w:rPr>
        <w:t>notification for</w:t>
      </w:r>
      <w:r>
        <w:rPr>
          <w:rFonts w:cs="Arial"/>
        </w:rPr>
        <w:t xml:space="preserve"> the enzyme preparation under the intended conditions of use (</w:t>
      </w:r>
      <w:hyperlink r:id="rId29" w:history="1">
        <w:r w:rsidRPr="008F04FC">
          <w:rPr>
            <w:rStyle w:val="Hyperlink"/>
            <w:rFonts w:cs="Arial"/>
          </w:rPr>
          <w:t>GRN000653</w:t>
        </w:r>
      </w:hyperlink>
      <w:r>
        <w:rPr>
          <w:rStyle w:val="FootnoteReference"/>
          <w:rFonts w:cs="Arial"/>
        </w:rPr>
        <w:footnoteReference w:id="12"/>
      </w:r>
      <w:r>
        <w:rPr>
          <w:rFonts w:cs="Arial"/>
        </w:rPr>
        <w:t>)</w:t>
      </w:r>
      <w:r w:rsidR="00A30707">
        <w:rPr>
          <w:rFonts w:cs="Arial"/>
        </w:rPr>
        <w:t xml:space="preserve"> in October 2016</w:t>
      </w:r>
      <w:r w:rsidR="007C7FB1">
        <w:rPr>
          <w:rFonts w:cs="Arial"/>
        </w:rPr>
        <w:t>, stat</w:t>
      </w:r>
      <w:r w:rsidR="003E4482">
        <w:rPr>
          <w:rFonts w:cs="Arial"/>
        </w:rPr>
        <w:t>ing</w:t>
      </w:r>
      <w:r w:rsidR="007C7FB1">
        <w:rPr>
          <w:rFonts w:cs="Arial"/>
        </w:rPr>
        <w:t xml:space="preserve"> that the agency had no questions</w:t>
      </w:r>
      <w:r>
        <w:rPr>
          <w:rFonts w:cs="Arial"/>
        </w:rPr>
        <w:t>.</w:t>
      </w:r>
    </w:p>
    <w:p w14:paraId="42ED36EE" w14:textId="77777777" w:rsidR="00AF0509" w:rsidRDefault="00AF0509" w:rsidP="00AF0509">
      <w:pPr>
        <w:pStyle w:val="Heading1"/>
      </w:pPr>
      <w:bookmarkStart w:id="60" w:name="_Toc528851105"/>
      <w:bookmarkStart w:id="61" w:name="_Toc501699836"/>
      <w:r>
        <w:t>4 Discussion</w:t>
      </w:r>
      <w:bookmarkEnd w:id="60"/>
    </w:p>
    <w:p w14:paraId="7F52D818" w14:textId="35E44999" w:rsidR="005A6456" w:rsidRDefault="00651E87" w:rsidP="001D7224">
      <w:r>
        <w:t>Molecular evidence confirmed</w:t>
      </w:r>
      <w:r w:rsidRPr="005E0EA7">
        <w:t xml:space="preserve"> the taxonom</w:t>
      </w:r>
      <w:r>
        <w:t>y</w:t>
      </w:r>
      <w:r w:rsidRPr="005E0EA7">
        <w:t xml:space="preserve"> </w:t>
      </w:r>
      <w:r>
        <w:t xml:space="preserve">of </w:t>
      </w:r>
      <w:r w:rsidR="008F66A8">
        <w:t xml:space="preserve">the </w:t>
      </w:r>
      <w:r w:rsidR="00597140">
        <w:t>production</w:t>
      </w:r>
      <w:r w:rsidR="00597140" w:rsidRPr="00C77AB3">
        <w:t xml:space="preserve"> </w:t>
      </w:r>
      <w:r w:rsidR="008F66A8" w:rsidRPr="00C77AB3">
        <w:t xml:space="preserve">strain of </w:t>
      </w:r>
      <w:r w:rsidRPr="005E0EA7">
        <w:rPr>
          <w:i/>
        </w:rPr>
        <w:t>T</w:t>
      </w:r>
      <w:r w:rsidR="006636AA">
        <w:rPr>
          <w:i/>
        </w:rPr>
        <w:t>.</w:t>
      </w:r>
      <w:r w:rsidRPr="005E0EA7">
        <w:rPr>
          <w:i/>
        </w:rPr>
        <w:t xml:space="preserve"> reesei</w:t>
      </w:r>
      <w:r w:rsidR="00597140">
        <w:t xml:space="preserve"> containing the </w:t>
      </w:r>
      <w:r w:rsidR="00597140" w:rsidRPr="00C77AB3">
        <w:t>lysophospholipase gene</w:t>
      </w:r>
      <w:r>
        <w:rPr>
          <w:i/>
        </w:rPr>
        <w:t xml:space="preserve">. </w:t>
      </w:r>
      <w:r>
        <w:t>This fungus is not toxigenic or pathogenic and has a long history of safe use in the production of a number of enzyme processing aids that are already permitted in the Code</w:t>
      </w:r>
      <w:r w:rsidR="00617EC9">
        <w:t>.</w:t>
      </w:r>
      <w:r w:rsidR="005A6456">
        <w:t xml:space="preserve"> </w:t>
      </w:r>
      <w:r w:rsidR="001D7224">
        <w:t xml:space="preserve">No extraneous genetic material is carried across from the donor organism as part of the genetic </w:t>
      </w:r>
      <w:r w:rsidR="001503AD">
        <w:t>modification</w:t>
      </w:r>
      <w:r w:rsidR="001D7224">
        <w:t>. The genetic modification has</w:t>
      </w:r>
      <w:r w:rsidR="002540B9">
        <w:t xml:space="preserve"> been shown to be stably inherited</w:t>
      </w:r>
      <w:r w:rsidR="001D7224">
        <w:t>.</w:t>
      </w:r>
    </w:p>
    <w:p w14:paraId="50A5193A" w14:textId="77777777" w:rsidR="00651E87" w:rsidRDefault="00651E87" w:rsidP="003C5EF4"/>
    <w:p w14:paraId="21612D51" w14:textId="771EFBD1" w:rsidR="00AF0509" w:rsidRDefault="003C5EF4" w:rsidP="003C5EF4">
      <w:r>
        <w:t xml:space="preserve">No </w:t>
      </w:r>
      <w:r w:rsidRPr="003C5EF4">
        <w:t>public health and safety concerns</w:t>
      </w:r>
      <w:r>
        <w:t xml:space="preserve"> associated with the use of l</w:t>
      </w:r>
      <w:r w:rsidRPr="003C5EF4">
        <w:t>ysophospholipase from</w:t>
      </w:r>
      <w:r>
        <w:t xml:space="preserve"> genetically modified </w:t>
      </w:r>
      <w:r w:rsidRPr="003C5EF4">
        <w:rPr>
          <w:i/>
        </w:rPr>
        <w:t>T</w:t>
      </w:r>
      <w:r w:rsidR="006636AA">
        <w:rPr>
          <w:i/>
        </w:rPr>
        <w:t>.</w:t>
      </w:r>
      <w:r w:rsidRPr="003C5EF4">
        <w:rPr>
          <w:i/>
        </w:rPr>
        <w:t xml:space="preserve"> reesei</w:t>
      </w:r>
      <w:r>
        <w:rPr>
          <w:i/>
        </w:rPr>
        <w:t xml:space="preserve"> </w:t>
      </w:r>
      <w:r>
        <w:t xml:space="preserve">were identified as a result of this hazard assessment. </w:t>
      </w:r>
    </w:p>
    <w:p w14:paraId="0B5D09A1" w14:textId="4D8553D7" w:rsidR="002F0955" w:rsidRDefault="002F0955" w:rsidP="003C5EF4"/>
    <w:p w14:paraId="0EEE3F8B" w14:textId="45C3BD72" w:rsidR="000D4B0D" w:rsidRPr="002F1B7A" w:rsidRDefault="002F1B7A" w:rsidP="002F1B7A">
      <w:r>
        <w:t>The enyme was not genotoxic in a</w:t>
      </w:r>
      <w:r w:rsidRPr="002F1B7A">
        <w:t xml:space="preserve"> bacterial reverse mutation assay (Ames test) </w:t>
      </w:r>
      <w:r>
        <w:t>or</w:t>
      </w:r>
      <w:r w:rsidRPr="002F1B7A">
        <w:t xml:space="preserve"> a chromosomal aberration test in Chinese hamster lung fibroblast V79 cells</w:t>
      </w:r>
      <w:r>
        <w:t>. No</w:t>
      </w:r>
      <w:r w:rsidRPr="002F1B7A">
        <w:t xml:space="preserve"> adverse effects </w:t>
      </w:r>
      <w:r>
        <w:t xml:space="preserve">were observed </w:t>
      </w:r>
      <w:r w:rsidRPr="002F1B7A">
        <w:t xml:space="preserve">in a 90-day oral gavage study </w:t>
      </w:r>
      <w:r>
        <w:t>in</w:t>
      </w:r>
      <w:r w:rsidRPr="002F1B7A">
        <w:t xml:space="preserve"> rats at doses up to 1000 mg/kg bw/day, </w:t>
      </w:r>
      <w:r>
        <w:t>equivalent to</w:t>
      </w:r>
      <w:r w:rsidRPr="002F1B7A">
        <w:t xml:space="preserve"> 995 mg/kg bw/day </w:t>
      </w:r>
      <w:r>
        <w:lastRenderedPageBreak/>
        <w:t>when expressed as TOS</w:t>
      </w:r>
      <w:r w:rsidRPr="002F1B7A">
        <w:t>. The Theoretical Maximal Daily Intake (TMDI) in humans under the proposed conditions of use is TOS equal to 0.006 mg/kg bw/day. Consequently, the Margin of Safety (MoS) between the human TMDI and the NOAEL in rats is 159,167.</w:t>
      </w:r>
    </w:p>
    <w:p w14:paraId="39B9B071" w14:textId="77777777" w:rsidR="000D4B0D" w:rsidRDefault="000D4B0D" w:rsidP="003C5EF4"/>
    <w:p w14:paraId="70F75588" w14:textId="1EDAE4B5" w:rsidR="00754AFF" w:rsidRDefault="00754AFF" w:rsidP="003C5EF4">
      <w:r>
        <w:t xml:space="preserve">Bioinformatic searches did not identify any significant homology of the amino acid sequence of the enzyme with those of known toxins or allergens. </w:t>
      </w:r>
      <w:r w:rsidR="00A66EA8">
        <w:t xml:space="preserve">However the enzyme may contain traces of wheat and risk management measures may be required for people with wheat allergy. </w:t>
      </w:r>
    </w:p>
    <w:p w14:paraId="281442A3" w14:textId="77777777" w:rsidR="00AF0509" w:rsidRDefault="00AF0509" w:rsidP="00AF0509">
      <w:pPr>
        <w:pStyle w:val="Heading1"/>
      </w:pPr>
      <w:bookmarkStart w:id="62" w:name="_Toc528851106"/>
      <w:r>
        <w:t>5 Conclusions</w:t>
      </w:r>
      <w:bookmarkEnd w:id="62"/>
    </w:p>
    <w:p w14:paraId="0334FBC0" w14:textId="5ED3F2F8" w:rsidR="00AC0DE3" w:rsidRDefault="00AC0DE3" w:rsidP="00AC0DE3">
      <w:r w:rsidRPr="00754AFF">
        <w:t xml:space="preserve">Based on the reviewed </w:t>
      </w:r>
      <w:r w:rsidR="00120DD5">
        <w:t xml:space="preserve">information concerning the source and donor organisms, the genetic modification and the </w:t>
      </w:r>
      <w:r w:rsidRPr="00754AFF">
        <w:t>toxicological data</w:t>
      </w:r>
      <w:r w:rsidR="00120DD5">
        <w:t>,</w:t>
      </w:r>
      <w:r w:rsidRPr="00754AFF">
        <w:t xml:space="preserve"> it is concluded that in the absence of any identifiable hazard, an Acceptable Daily Intake (ADI)</w:t>
      </w:r>
      <w:r w:rsidR="001D7224">
        <w:t xml:space="preserve"> of</w:t>
      </w:r>
      <w:r w:rsidRPr="00754AFF">
        <w:t xml:space="preserve"> ‘not specified’ is appropriate</w:t>
      </w:r>
      <w:r w:rsidR="00A66EA8">
        <w:t xml:space="preserve"> for the general population</w:t>
      </w:r>
      <w:r w:rsidRPr="00754AFF">
        <w:t xml:space="preserve">. A dietary exposure assessment </w:t>
      </w:r>
      <w:r w:rsidR="00145138">
        <w:t>wa</w:t>
      </w:r>
      <w:r w:rsidRPr="00754AFF">
        <w:t>s therefore not required.</w:t>
      </w:r>
    </w:p>
    <w:p w14:paraId="26281CEA" w14:textId="77777777" w:rsidR="00AF0509" w:rsidRDefault="00AF0509" w:rsidP="00AF0509">
      <w:pPr>
        <w:pStyle w:val="Heading1"/>
      </w:pPr>
      <w:bookmarkStart w:id="63" w:name="_Toc528851107"/>
      <w:r>
        <w:t>6 References</w:t>
      </w:r>
      <w:bookmarkEnd w:id="61"/>
      <w:bookmarkEnd w:id="63"/>
    </w:p>
    <w:p w14:paraId="25FCFBFD" w14:textId="1D9D3204" w:rsidR="003F5429" w:rsidRPr="003F5429" w:rsidRDefault="003F5429" w:rsidP="003F5429">
      <w:pPr>
        <w:ind w:left="284" w:hanging="284"/>
        <w:rPr>
          <w:sz w:val="20"/>
          <w:szCs w:val="20"/>
        </w:rPr>
      </w:pPr>
      <w:r w:rsidRPr="003F5429">
        <w:rPr>
          <w:sz w:val="20"/>
          <w:szCs w:val="20"/>
        </w:rPr>
        <w:t>Codex Alimentarius (2003) Codex Alimentarius (2003). Guideline for the Conduct of Food Safety Assessment of Foods Produced Using Recombinant</w:t>
      </w:r>
      <w:r w:rsidRPr="003F5429">
        <w:rPr>
          <w:rFonts w:ascii="Cambria Math" w:hAnsi="Cambria Math" w:cs="Cambria Math"/>
          <w:sz w:val="20"/>
          <w:szCs w:val="20"/>
        </w:rPr>
        <w:t>‐</w:t>
      </w:r>
      <w:r w:rsidRPr="003F5429">
        <w:rPr>
          <w:sz w:val="20"/>
          <w:szCs w:val="20"/>
        </w:rPr>
        <w:t>DNA Microorganisms. (CAC/GL 46</w:t>
      </w:r>
      <w:r w:rsidRPr="003F5429">
        <w:rPr>
          <w:rFonts w:ascii="Cambria Math" w:hAnsi="Cambria Math" w:cs="Cambria Math"/>
          <w:sz w:val="20"/>
          <w:szCs w:val="20"/>
        </w:rPr>
        <w:t>‐</w:t>
      </w:r>
      <w:r w:rsidRPr="003F5429">
        <w:rPr>
          <w:sz w:val="20"/>
          <w:szCs w:val="20"/>
        </w:rPr>
        <w:t>2003)</w:t>
      </w:r>
      <w:r w:rsidR="008D12A1">
        <w:rPr>
          <w:sz w:val="20"/>
          <w:szCs w:val="20"/>
        </w:rPr>
        <w:t>.</w:t>
      </w:r>
    </w:p>
    <w:p w14:paraId="7B5E8C5B" w14:textId="6578D988" w:rsidR="008D12A1" w:rsidRPr="008D12A1" w:rsidRDefault="008D12A1" w:rsidP="008D12A1">
      <w:pPr>
        <w:ind w:left="284" w:hanging="284"/>
        <w:rPr>
          <w:sz w:val="20"/>
          <w:szCs w:val="20"/>
        </w:rPr>
      </w:pPr>
      <w:r w:rsidRPr="008D12A1">
        <w:rPr>
          <w:sz w:val="20"/>
          <w:szCs w:val="20"/>
        </w:rPr>
        <w:t>Delaney B, Astwood JD, Cunny H, Conn RE, Herouet-Guicheney C, MacIntosh S, Meyer LS, Privalle L, Gao Y, Mattsson J, Levine M, ILSI Food Biotechnology Committee Task Force on Protein Safety (2008). Evaluation of protein safety in the context of agricultural biotechnology. Food and Chemical Toxicology 46: S71-S97</w:t>
      </w:r>
      <w:r>
        <w:rPr>
          <w:sz w:val="20"/>
          <w:szCs w:val="20"/>
        </w:rPr>
        <w:t>.</w:t>
      </w:r>
    </w:p>
    <w:p w14:paraId="1A2E4DE6" w14:textId="0CF801C1" w:rsidR="003F5429" w:rsidRDefault="003F5429" w:rsidP="003F5429">
      <w:pPr>
        <w:ind w:left="284" w:hanging="284"/>
        <w:rPr>
          <w:sz w:val="20"/>
          <w:szCs w:val="20"/>
        </w:rPr>
      </w:pPr>
      <w:r w:rsidRPr="00D24609">
        <w:rPr>
          <w:sz w:val="20"/>
          <w:szCs w:val="20"/>
        </w:rPr>
        <w:t xml:space="preserve">FAO/WHO (2016) General specifications and considerations for enzyme preparations used in food processing. </w:t>
      </w:r>
      <w:hyperlink r:id="rId30" w:history="1">
        <w:r w:rsidRPr="00D24609">
          <w:rPr>
            <w:rStyle w:val="Hyperlink"/>
            <w:sz w:val="20"/>
          </w:rPr>
          <w:t>http://www.fao.org/docrep/009/a0691e/A0691E03.htm</w:t>
        </w:r>
      </w:hyperlink>
      <w:r>
        <w:t xml:space="preserve"> </w:t>
      </w:r>
      <w:r w:rsidRPr="00D24609">
        <w:rPr>
          <w:sz w:val="20"/>
          <w:szCs w:val="20"/>
        </w:rPr>
        <w:t xml:space="preserve"> </w:t>
      </w:r>
    </w:p>
    <w:p w14:paraId="2DFF3EF9" w14:textId="0A9332C9" w:rsidR="003F5429" w:rsidRDefault="003F5429" w:rsidP="003F5429">
      <w:pPr>
        <w:ind w:left="284" w:hanging="284"/>
        <w:rPr>
          <w:rStyle w:val="Hyperlink"/>
          <w:sz w:val="20"/>
          <w:szCs w:val="20"/>
        </w:rPr>
      </w:pPr>
      <w:r w:rsidRPr="00F418CA">
        <w:rPr>
          <w:sz w:val="20"/>
          <w:szCs w:val="20"/>
        </w:rPr>
        <w:t>FSANZ (201</w:t>
      </w:r>
      <w:r>
        <w:rPr>
          <w:sz w:val="20"/>
          <w:szCs w:val="20"/>
        </w:rPr>
        <w:t>8</w:t>
      </w:r>
      <w:r w:rsidRPr="00F418CA">
        <w:rPr>
          <w:sz w:val="20"/>
          <w:szCs w:val="20"/>
        </w:rPr>
        <w:t xml:space="preserve">) </w:t>
      </w:r>
      <w:r w:rsidRPr="003F789C">
        <w:rPr>
          <w:iCs/>
          <w:sz w:val="20"/>
          <w:szCs w:val="20"/>
        </w:rPr>
        <w:t>Australia New Zealand Food Standards Code</w:t>
      </w:r>
      <w:r>
        <w:rPr>
          <w:sz w:val="20"/>
          <w:szCs w:val="20"/>
        </w:rPr>
        <w:t xml:space="preserve">. </w:t>
      </w:r>
      <w:hyperlink r:id="rId31" w:history="1">
        <w:r w:rsidRPr="00CB2CF3">
          <w:rPr>
            <w:rStyle w:val="Hyperlink"/>
            <w:sz w:val="20"/>
            <w:szCs w:val="20"/>
          </w:rPr>
          <w:t>http://www.foodstandards.gov.au/code/Pages/default.aspx</w:t>
        </w:r>
      </w:hyperlink>
    </w:p>
    <w:p w14:paraId="2CB6B1EC" w14:textId="75DC78B8" w:rsidR="001E63FB" w:rsidRDefault="001E63FB" w:rsidP="003F5429">
      <w:pPr>
        <w:ind w:left="284" w:hanging="284"/>
        <w:rPr>
          <w:sz w:val="20"/>
          <w:szCs w:val="22"/>
        </w:rPr>
      </w:pPr>
      <w:r w:rsidRPr="001E63FB">
        <w:rPr>
          <w:sz w:val="20"/>
          <w:szCs w:val="22"/>
        </w:rPr>
        <w:t xml:space="preserve">Gabrielli E, Fothergill AW, Brescini L, Sutton DA, Marchionni E, Orsetti E, Staffolani S, Castelli P, Gesuita R, Barchiesi F (2014) Osteomyelitis caused by </w:t>
      </w:r>
      <w:r w:rsidRPr="001E63FB">
        <w:rPr>
          <w:i/>
          <w:sz w:val="20"/>
          <w:szCs w:val="22"/>
        </w:rPr>
        <w:t xml:space="preserve">Aspergillus </w:t>
      </w:r>
      <w:r w:rsidRPr="001E63FB">
        <w:rPr>
          <w:sz w:val="20"/>
          <w:szCs w:val="22"/>
        </w:rPr>
        <w:t>species: A review of 310 reported cases. Clin</w:t>
      </w:r>
      <w:r>
        <w:rPr>
          <w:sz w:val="20"/>
          <w:szCs w:val="22"/>
        </w:rPr>
        <w:t>ical</w:t>
      </w:r>
      <w:r w:rsidRPr="001E63FB">
        <w:rPr>
          <w:sz w:val="20"/>
          <w:szCs w:val="22"/>
        </w:rPr>
        <w:t xml:space="preserve"> Microbiol</w:t>
      </w:r>
      <w:r>
        <w:rPr>
          <w:sz w:val="20"/>
          <w:szCs w:val="22"/>
        </w:rPr>
        <w:t>ology</w:t>
      </w:r>
      <w:r w:rsidRPr="001E63FB">
        <w:rPr>
          <w:sz w:val="20"/>
          <w:szCs w:val="22"/>
        </w:rPr>
        <w:t xml:space="preserve"> </w:t>
      </w:r>
      <w:r>
        <w:rPr>
          <w:sz w:val="20"/>
          <w:szCs w:val="22"/>
        </w:rPr>
        <w:t xml:space="preserve">and </w:t>
      </w:r>
      <w:r w:rsidRPr="001E63FB">
        <w:rPr>
          <w:sz w:val="20"/>
          <w:szCs w:val="22"/>
        </w:rPr>
        <w:t>Infect</w:t>
      </w:r>
      <w:r>
        <w:rPr>
          <w:sz w:val="20"/>
          <w:szCs w:val="22"/>
        </w:rPr>
        <w:t>ion</w:t>
      </w:r>
      <w:r w:rsidRPr="001E63FB">
        <w:rPr>
          <w:sz w:val="20"/>
          <w:szCs w:val="22"/>
        </w:rPr>
        <w:t xml:space="preserve"> 20:559-565</w:t>
      </w:r>
      <w:r>
        <w:rPr>
          <w:sz w:val="20"/>
          <w:szCs w:val="22"/>
        </w:rPr>
        <w:t>.</w:t>
      </w:r>
    </w:p>
    <w:p w14:paraId="492739DC" w14:textId="14560504" w:rsidR="001E63FB" w:rsidRPr="001E63FB" w:rsidRDefault="001E63FB" w:rsidP="003F5429">
      <w:pPr>
        <w:ind w:left="284" w:hanging="284"/>
        <w:rPr>
          <w:rStyle w:val="Hyperlink"/>
          <w:sz w:val="16"/>
          <w:szCs w:val="20"/>
        </w:rPr>
      </w:pPr>
      <w:r w:rsidRPr="001E63FB">
        <w:rPr>
          <w:sz w:val="20"/>
        </w:rPr>
        <w:t xml:space="preserve">Henriet SV, Verweij PE, Warris A (2012) </w:t>
      </w:r>
      <w:r w:rsidRPr="001E63FB">
        <w:rPr>
          <w:i/>
          <w:sz w:val="20"/>
        </w:rPr>
        <w:t>Aspergillus nidulans</w:t>
      </w:r>
      <w:r w:rsidRPr="001E63FB">
        <w:rPr>
          <w:sz w:val="20"/>
        </w:rPr>
        <w:t xml:space="preserve"> and chronic granulomatous disease: a unique host-pathogen interaction. The Journal of Infectious Diseases 206: 1128–1137</w:t>
      </w:r>
      <w:r>
        <w:rPr>
          <w:sz w:val="20"/>
        </w:rPr>
        <w:t>.</w:t>
      </w:r>
    </w:p>
    <w:p w14:paraId="55A28029" w14:textId="00A04A43" w:rsidR="008D12A1" w:rsidRDefault="008D12A1" w:rsidP="008D12A1">
      <w:pPr>
        <w:ind w:left="284" w:hanging="284"/>
        <w:rPr>
          <w:sz w:val="20"/>
          <w:szCs w:val="20"/>
        </w:rPr>
      </w:pPr>
      <w:r w:rsidRPr="008D12A1">
        <w:rPr>
          <w:sz w:val="20"/>
          <w:szCs w:val="20"/>
        </w:rPr>
        <w:t>Hileman RE, Silvanovich A, Goodman RE, Rice EA, Holleschak G, Astwood JD and Hefle SL (2002). Bioinformative methods for allergenicity assessment using a comprehensive allergen database. International Archives of Allergy and Immunology 128: 280-291</w:t>
      </w:r>
      <w:r>
        <w:rPr>
          <w:sz w:val="20"/>
          <w:szCs w:val="20"/>
        </w:rPr>
        <w:t>.</w:t>
      </w:r>
    </w:p>
    <w:p w14:paraId="5FD3E633" w14:textId="1FDECA31" w:rsidR="00B23833" w:rsidRPr="008D12A1" w:rsidRDefault="00B23833" w:rsidP="008D12A1">
      <w:pPr>
        <w:ind w:left="284" w:hanging="284"/>
        <w:rPr>
          <w:sz w:val="20"/>
          <w:szCs w:val="20"/>
        </w:rPr>
      </w:pPr>
      <w:r>
        <w:rPr>
          <w:sz w:val="20"/>
          <w:szCs w:val="20"/>
        </w:rPr>
        <w:t xml:space="preserve">Hosoe T, Mori N, Kamano K, Itabashi T, Yaguchi T, Kawai K (2011) A new antifungal yellow pigment from </w:t>
      </w:r>
      <w:r w:rsidRPr="00B23833">
        <w:rPr>
          <w:i/>
          <w:sz w:val="20"/>
          <w:szCs w:val="20"/>
        </w:rPr>
        <w:t>Aspergillus nishimurae</w:t>
      </w:r>
      <w:r>
        <w:rPr>
          <w:sz w:val="20"/>
          <w:szCs w:val="20"/>
        </w:rPr>
        <w:t>. The Journal of Antibiotics 64: 211-212.</w:t>
      </w:r>
    </w:p>
    <w:p w14:paraId="7E025A68" w14:textId="1FBD5CBC" w:rsidR="003F5429" w:rsidRDefault="003F5429" w:rsidP="003F5429">
      <w:pPr>
        <w:ind w:left="284" w:hanging="284"/>
        <w:rPr>
          <w:sz w:val="20"/>
        </w:rPr>
      </w:pPr>
      <w:r w:rsidRPr="00F418CA">
        <w:rPr>
          <w:sz w:val="20"/>
          <w:szCs w:val="20"/>
        </w:rPr>
        <w:t>IUBMB (201</w:t>
      </w:r>
      <w:r>
        <w:rPr>
          <w:sz w:val="20"/>
          <w:szCs w:val="20"/>
        </w:rPr>
        <w:t>7</w:t>
      </w:r>
      <w:r w:rsidRPr="00F418CA">
        <w:rPr>
          <w:sz w:val="20"/>
          <w:szCs w:val="20"/>
        </w:rPr>
        <w:t xml:space="preserve">) EC </w:t>
      </w:r>
      <w:r>
        <w:rPr>
          <w:sz w:val="20"/>
          <w:szCs w:val="20"/>
        </w:rPr>
        <w:t>3</w:t>
      </w:r>
      <w:r w:rsidRPr="00F418CA">
        <w:rPr>
          <w:sz w:val="20"/>
          <w:szCs w:val="20"/>
        </w:rPr>
        <w:t>.</w:t>
      </w:r>
      <w:r>
        <w:rPr>
          <w:sz w:val="20"/>
          <w:szCs w:val="20"/>
        </w:rPr>
        <w:t>1.</w:t>
      </w:r>
      <w:r w:rsidRPr="00F418CA">
        <w:rPr>
          <w:sz w:val="20"/>
          <w:szCs w:val="20"/>
        </w:rPr>
        <w:t>1</w:t>
      </w:r>
      <w:r>
        <w:rPr>
          <w:sz w:val="20"/>
          <w:szCs w:val="20"/>
        </w:rPr>
        <w:t>.5</w:t>
      </w:r>
      <w:r w:rsidRPr="00F418CA">
        <w:rPr>
          <w:sz w:val="20"/>
          <w:szCs w:val="20"/>
        </w:rPr>
        <w:t xml:space="preserve">. </w:t>
      </w:r>
      <w:hyperlink r:id="rId32" w:anchor="05" w:history="1">
        <w:r w:rsidRPr="00692BCE">
          <w:rPr>
            <w:rStyle w:val="Hyperlink"/>
            <w:sz w:val="20"/>
          </w:rPr>
          <w:t>http://www.sbcs.qmul.ac.uk/iubmb/enzyme/EC3/0101a.html#05</w:t>
        </w:r>
      </w:hyperlink>
    </w:p>
    <w:p w14:paraId="0941372B" w14:textId="77777777" w:rsidR="00CA3849" w:rsidRPr="008F04FC" w:rsidRDefault="00CA3849" w:rsidP="00CA3849">
      <w:pPr>
        <w:ind w:left="284" w:hanging="284"/>
        <w:rPr>
          <w:sz w:val="20"/>
          <w:szCs w:val="20"/>
        </w:rPr>
      </w:pPr>
      <w:r w:rsidRPr="008F04FC">
        <w:rPr>
          <w:sz w:val="20"/>
          <w:szCs w:val="20"/>
        </w:rPr>
        <w:t xml:space="preserve">Karhunen T, Mäntylä A, Nevalainen KMH,.Suominen P. L. (1993) High frequency </w:t>
      </w:r>
      <w:r w:rsidRPr="008F04FC">
        <w:rPr>
          <w:sz w:val="20"/>
          <w:szCs w:val="20"/>
        </w:rPr>
        <w:lastRenderedPageBreak/>
        <w:t xml:space="preserve">one-step gene replacement in </w:t>
      </w:r>
      <w:r w:rsidRPr="00B23833">
        <w:rPr>
          <w:i/>
          <w:sz w:val="20"/>
          <w:szCs w:val="20"/>
        </w:rPr>
        <w:t>Trichoderma reesei</w:t>
      </w:r>
      <w:r w:rsidRPr="008F04FC">
        <w:rPr>
          <w:sz w:val="20"/>
          <w:szCs w:val="20"/>
        </w:rPr>
        <w:t xml:space="preserve">. I. Endoglucanase I overproduction. </w:t>
      </w:r>
      <w:r w:rsidRPr="008F04FC">
        <w:rPr>
          <w:i/>
          <w:iCs/>
          <w:sz w:val="20"/>
          <w:szCs w:val="20"/>
        </w:rPr>
        <w:t xml:space="preserve">Molecular &amp; General Genetics </w:t>
      </w:r>
      <w:r w:rsidRPr="008F04FC">
        <w:rPr>
          <w:sz w:val="20"/>
          <w:szCs w:val="20"/>
        </w:rPr>
        <w:t>241 (5-6): 515–522.</w:t>
      </w:r>
    </w:p>
    <w:p w14:paraId="25EE2D49" w14:textId="7F862A13" w:rsidR="00CA3849" w:rsidRPr="008F04FC" w:rsidRDefault="00CA3849" w:rsidP="00CA3849">
      <w:pPr>
        <w:ind w:left="284" w:hanging="284"/>
        <w:rPr>
          <w:sz w:val="20"/>
          <w:szCs w:val="20"/>
        </w:rPr>
      </w:pPr>
      <w:r w:rsidRPr="008F04FC">
        <w:rPr>
          <w:sz w:val="20"/>
          <w:szCs w:val="20"/>
        </w:rPr>
        <w:t xml:space="preserve">Kelly JM, Hynes MJ (1985) Transformation of </w:t>
      </w:r>
      <w:r w:rsidRPr="008F04FC">
        <w:rPr>
          <w:i/>
          <w:sz w:val="20"/>
          <w:szCs w:val="20"/>
        </w:rPr>
        <w:t>Aspergillus niger</w:t>
      </w:r>
      <w:r w:rsidRPr="008F04FC">
        <w:rPr>
          <w:sz w:val="20"/>
          <w:szCs w:val="20"/>
        </w:rPr>
        <w:t xml:space="preserve"> by the </w:t>
      </w:r>
      <w:r w:rsidRPr="008F04FC">
        <w:rPr>
          <w:i/>
          <w:sz w:val="20"/>
          <w:szCs w:val="20"/>
        </w:rPr>
        <w:t>amdS</w:t>
      </w:r>
      <w:r w:rsidRPr="008F04FC">
        <w:rPr>
          <w:sz w:val="20"/>
          <w:szCs w:val="20"/>
        </w:rPr>
        <w:t xml:space="preserve"> gene of </w:t>
      </w:r>
      <w:r w:rsidRPr="008F04FC">
        <w:rPr>
          <w:i/>
          <w:sz w:val="20"/>
          <w:szCs w:val="20"/>
        </w:rPr>
        <w:t>Aspergillus nidulans</w:t>
      </w:r>
      <w:r w:rsidRPr="008F04FC">
        <w:rPr>
          <w:sz w:val="20"/>
          <w:szCs w:val="20"/>
        </w:rPr>
        <w:t xml:space="preserve"> The EMBO Journal 4(2) 475 – 479</w:t>
      </w:r>
      <w:r w:rsidR="001E63FB">
        <w:rPr>
          <w:sz w:val="20"/>
          <w:szCs w:val="20"/>
        </w:rPr>
        <w:t>.</w:t>
      </w:r>
    </w:p>
    <w:p w14:paraId="58F22F40" w14:textId="77777777" w:rsidR="003F5429" w:rsidRDefault="003F5429" w:rsidP="003F5429">
      <w:pPr>
        <w:ind w:left="284" w:hanging="284"/>
        <w:rPr>
          <w:sz w:val="20"/>
          <w:szCs w:val="20"/>
          <w:highlight w:val="yellow"/>
        </w:rPr>
      </w:pPr>
      <w:r w:rsidRPr="00B43198">
        <w:rPr>
          <w:sz w:val="20"/>
        </w:rPr>
        <w:t>Matser A</w:t>
      </w:r>
      <w:r>
        <w:rPr>
          <w:sz w:val="20"/>
        </w:rPr>
        <w:t xml:space="preserve"> M, </w:t>
      </w:r>
      <w:r w:rsidRPr="00B43198">
        <w:rPr>
          <w:sz w:val="20"/>
        </w:rPr>
        <w:t xml:space="preserve">Steeneken P A M. (1998) Origins of the </w:t>
      </w:r>
      <w:r>
        <w:rPr>
          <w:sz w:val="20"/>
        </w:rPr>
        <w:t>p</w:t>
      </w:r>
      <w:r w:rsidRPr="00B43198">
        <w:rPr>
          <w:sz w:val="20"/>
        </w:rPr>
        <w:t xml:space="preserve">oor </w:t>
      </w:r>
      <w:r>
        <w:rPr>
          <w:sz w:val="20"/>
        </w:rPr>
        <w:t>f</w:t>
      </w:r>
      <w:r w:rsidRPr="00B43198">
        <w:rPr>
          <w:sz w:val="20"/>
        </w:rPr>
        <w:t xml:space="preserve">iltration </w:t>
      </w:r>
      <w:r>
        <w:rPr>
          <w:sz w:val="20"/>
        </w:rPr>
        <w:t>c</w:t>
      </w:r>
      <w:r w:rsidRPr="00B43198">
        <w:rPr>
          <w:sz w:val="20"/>
        </w:rPr>
        <w:t xml:space="preserve">haracteristics of </w:t>
      </w:r>
      <w:r>
        <w:rPr>
          <w:sz w:val="20"/>
        </w:rPr>
        <w:t>w</w:t>
      </w:r>
      <w:r w:rsidRPr="00B43198">
        <w:rPr>
          <w:sz w:val="20"/>
        </w:rPr>
        <w:t xml:space="preserve">heat </w:t>
      </w:r>
      <w:r>
        <w:rPr>
          <w:sz w:val="20"/>
        </w:rPr>
        <w:t>starch h</w:t>
      </w:r>
      <w:r w:rsidRPr="00B43198">
        <w:rPr>
          <w:sz w:val="20"/>
        </w:rPr>
        <w:t>ydrolysates.</w:t>
      </w:r>
      <w:r>
        <w:rPr>
          <w:sz w:val="20"/>
        </w:rPr>
        <w:t xml:space="preserve"> </w:t>
      </w:r>
      <w:r w:rsidRPr="00B43198">
        <w:rPr>
          <w:sz w:val="20"/>
        </w:rPr>
        <w:t xml:space="preserve">Cereal Chemistry 75(3) 289–293. </w:t>
      </w:r>
    </w:p>
    <w:p w14:paraId="3D4C19FE" w14:textId="77777777" w:rsidR="00CA3849" w:rsidRPr="008F04FC" w:rsidRDefault="00CA3849" w:rsidP="00CA3849">
      <w:pPr>
        <w:ind w:left="284" w:hanging="284"/>
        <w:rPr>
          <w:sz w:val="20"/>
          <w:szCs w:val="20"/>
        </w:rPr>
      </w:pPr>
      <w:r w:rsidRPr="008F04FC">
        <w:rPr>
          <w:sz w:val="20"/>
          <w:szCs w:val="20"/>
        </w:rPr>
        <w:t>Nevalainen H, Peterson R (2014) Making recombinant proteins in filamentous fungi - are we expecting too much? Frontiers of Microbiology 5:e75</w:t>
      </w:r>
    </w:p>
    <w:p w14:paraId="2B8E0243" w14:textId="77777777" w:rsidR="00CA3849" w:rsidRPr="008F04FC" w:rsidRDefault="00CA3849" w:rsidP="00CA3849">
      <w:pPr>
        <w:ind w:left="284" w:hanging="284"/>
        <w:rPr>
          <w:sz w:val="20"/>
          <w:szCs w:val="20"/>
        </w:rPr>
      </w:pPr>
      <w:r w:rsidRPr="008F04FC">
        <w:rPr>
          <w:sz w:val="20"/>
          <w:szCs w:val="20"/>
        </w:rPr>
        <w:t xml:space="preserve">Nevalainen H, Suominen P, Taimisto K (1994) On the safety of </w:t>
      </w:r>
      <w:r w:rsidRPr="008F04FC">
        <w:rPr>
          <w:i/>
          <w:sz w:val="20"/>
          <w:szCs w:val="20"/>
        </w:rPr>
        <w:t>Trichoderma reesei</w:t>
      </w:r>
      <w:r w:rsidRPr="008F04FC">
        <w:rPr>
          <w:sz w:val="20"/>
          <w:szCs w:val="20"/>
        </w:rPr>
        <w:t xml:space="preserve">. </w:t>
      </w:r>
      <w:r w:rsidRPr="008F04FC">
        <w:rPr>
          <w:i/>
          <w:iCs/>
          <w:sz w:val="20"/>
          <w:szCs w:val="20"/>
        </w:rPr>
        <w:t xml:space="preserve">Journal of Biotechnology </w:t>
      </w:r>
      <w:r w:rsidRPr="008F04FC">
        <w:rPr>
          <w:sz w:val="20"/>
          <w:szCs w:val="20"/>
        </w:rPr>
        <w:t>37 (3): 193–200.</w:t>
      </w:r>
    </w:p>
    <w:p w14:paraId="01F987C8" w14:textId="77777777" w:rsidR="00CA3849" w:rsidRPr="008F04FC" w:rsidRDefault="00CA3849" w:rsidP="00CA3849">
      <w:pPr>
        <w:pStyle w:val="CitaviBibliography"/>
        <w:spacing w:after="0" w:line="240" w:lineRule="auto"/>
        <w:ind w:left="284" w:hanging="284"/>
        <w:rPr>
          <w:sz w:val="20"/>
          <w:szCs w:val="20"/>
        </w:rPr>
      </w:pPr>
      <w:r w:rsidRPr="008F04FC">
        <w:rPr>
          <w:sz w:val="20"/>
          <w:szCs w:val="20"/>
        </w:rPr>
        <w:t xml:space="preserve">Paloheimo M, Haarmann T, Mäkinen S, Vehmaanperä J (2016) Production of industrial enzymes in </w:t>
      </w:r>
      <w:r w:rsidRPr="008F04FC">
        <w:rPr>
          <w:i/>
          <w:sz w:val="20"/>
          <w:szCs w:val="20"/>
        </w:rPr>
        <w:t>Trichoderma reesei</w:t>
      </w:r>
      <w:r w:rsidRPr="008F04FC">
        <w:rPr>
          <w:sz w:val="20"/>
          <w:szCs w:val="20"/>
        </w:rPr>
        <w:t xml:space="preserve">. In: Schmoll M, Dattenböck C (Eds) Gene expression systems </w:t>
      </w:r>
      <w:r w:rsidRPr="008F04FC">
        <w:rPr>
          <w:i/>
          <w:sz w:val="20"/>
          <w:szCs w:val="20"/>
        </w:rPr>
        <w:t>In</w:t>
      </w:r>
      <w:r w:rsidRPr="008F04FC">
        <w:rPr>
          <w:sz w:val="20"/>
          <w:szCs w:val="20"/>
        </w:rPr>
        <w:t xml:space="preserve"> Fungi: Advancements and Applications. Springer International Publishing, Switzerland, p.23-57</w:t>
      </w:r>
    </w:p>
    <w:p w14:paraId="5CDAA30D" w14:textId="77777777" w:rsidR="00CA3849" w:rsidRPr="008F04FC" w:rsidRDefault="00CA3849" w:rsidP="00CA3849">
      <w:pPr>
        <w:ind w:left="284" w:hanging="284"/>
        <w:rPr>
          <w:sz w:val="20"/>
          <w:szCs w:val="20"/>
        </w:rPr>
      </w:pPr>
      <w:r w:rsidRPr="008F04FC">
        <w:rPr>
          <w:sz w:val="20"/>
          <w:szCs w:val="20"/>
        </w:rPr>
        <w:t xml:space="preserve">Penttilä M, Nevalainen H, Rättö M, Salminen E, Knowles J (1987) A versatile transformation system for the cellulolytic filamentous fungus </w:t>
      </w:r>
      <w:r w:rsidRPr="008F04FC">
        <w:rPr>
          <w:i/>
          <w:sz w:val="20"/>
          <w:szCs w:val="20"/>
        </w:rPr>
        <w:t>Trichoderma reesei.</w:t>
      </w:r>
      <w:r w:rsidRPr="008F04FC">
        <w:rPr>
          <w:sz w:val="20"/>
          <w:szCs w:val="20"/>
        </w:rPr>
        <w:t xml:space="preserve"> </w:t>
      </w:r>
      <w:r w:rsidRPr="008F04FC">
        <w:rPr>
          <w:i/>
          <w:iCs/>
          <w:sz w:val="20"/>
          <w:szCs w:val="20"/>
        </w:rPr>
        <w:t xml:space="preserve">Gene </w:t>
      </w:r>
      <w:r w:rsidRPr="008F04FC">
        <w:rPr>
          <w:sz w:val="20"/>
          <w:szCs w:val="20"/>
        </w:rPr>
        <w:t>61 (2): 155–164.</w:t>
      </w:r>
    </w:p>
    <w:p w14:paraId="4AAE07AF" w14:textId="77777777" w:rsidR="00CA3849" w:rsidRDefault="00CA3849" w:rsidP="00CA3849">
      <w:pPr>
        <w:ind w:left="284" w:hanging="284"/>
        <w:rPr>
          <w:rStyle w:val="highwire-cite-metadata-doi"/>
          <w:rFonts w:cs="Arial"/>
          <w:color w:val="333333"/>
          <w:sz w:val="20"/>
          <w:szCs w:val="20"/>
          <w:lang w:val="en"/>
        </w:rPr>
      </w:pPr>
      <w:r w:rsidRPr="008F04FC">
        <w:rPr>
          <w:rStyle w:val="highwire-citation-author2"/>
          <w:rFonts w:cs="Arial"/>
          <w:color w:val="333333"/>
          <w:sz w:val="20"/>
          <w:szCs w:val="20"/>
          <w:lang w:val="en"/>
        </w:rPr>
        <w:t>Seidl</w:t>
      </w:r>
      <w:r w:rsidRPr="008F04FC">
        <w:rPr>
          <w:rStyle w:val="highwire-citation-authors"/>
          <w:rFonts w:cs="Arial"/>
          <w:color w:val="333333"/>
          <w:sz w:val="20"/>
          <w:szCs w:val="20"/>
          <w:lang w:val="en"/>
        </w:rPr>
        <w:t xml:space="preserve"> V, </w:t>
      </w:r>
      <w:r w:rsidRPr="008F04FC">
        <w:rPr>
          <w:rStyle w:val="highwire-citation-author2"/>
          <w:rFonts w:cs="Arial"/>
          <w:color w:val="333333"/>
          <w:sz w:val="20"/>
          <w:szCs w:val="20"/>
          <w:lang w:val="en"/>
        </w:rPr>
        <w:t>Seibel</w:t>
      </w:r>
      <w:r w:rsidRPr="008F04FC">
        <w:rPr>
          <w:rStyle w:val="highwire-citation-authors"/>
          <w:rFonts w:cs="Arial"/>
          <w:color w:val="333333"/>
          <w:sz w:val="20"/>
          <w:szCs w:val="20"/>
          <w:lang w:val="en"/>
        </w:rPr>
        <w:t xml:space="preserve"> C, </w:t>
      </w:r>
      <w:r w:rsidRPr="008F04FC">
        <w:rPr>
          <w:rStyle w:val="highwire-citation-author2"/>
          <w:rFonts w:cs="Arial"/>
          <w:color w:val="333333"/>
          <w:sz w:val="20"/>
          <w:szCs w:val="20"/>
          <w:lang w:val="en"/>
        </w:rPr>
        <w:t>Kubicek</w:t>
      </w:r>
      <w:r w:rsidRPr="008F04FC">
        <w:rPr>
          <w:rStyle w:val="highwire-citation-authors"/>
          <w:rFonts w:cs="Arial"/>
          <w:color w:val="333333"/>
          <w:sz w:val="20"/>
          <w:szCs w:val="20"/>
          <w:lang w:val="en"/>
        </w:rPr>
        <w:t xml:space="preserve"> CP, </w:t>
      </w:r>
      <w:r w:rsidRPr="008F04FC">
        <w:rPr>
          <w:rStyle w:val="highwire-citation-author2"/>
          <w:rFonts w:cs="Arial"/>
          <w:color w:val="333333"/>
          <w:sz w:val="20"/>
          <w:szCs w:val="20"/>
          <w:lang w:val="en"/>
        </w:rPr>
        <w:t xml:space="preserve">Schmoll M (2009) </w:t>
      </w:r>
      <w:r w:rsidRPr="008F04FC">
        <w:rPr>
          <w:sz w:val="20"/>
          <w:szCs w:val="20"/>
          <w:lang w:val="en"/>
        </w:rPr>
        <w:t xml:space="preserve">Sexual development in the industrial workhorse </w:t>
      </w:r>
      <w:r w:rsidRPr="008F04FC">
        <w:rPr>
          <w:rStyle w:val="Emphasis"/>
          <w:rFonts w:cs="Arial"/>
          <w:sz w:val="20"/>
          <w:szCs w:val="20"/>
          <w:lang w:val="en"/>
        </w:rPr>
        <w:t xml:space="preserve">Trichoderma reesei. Proceedings of the National Academy of Sciences </w:t>
      </w:r>
      <w:r w:rsidRPr="008F04FC">
        <w:rPr>
          <w:rStyle w:val="highwire-cite-metadata-volume"/>
          <w:rFonts w:cs="Arial"/>
          <w:color w:val="333333"/>
          <w:sz w:val="20"/>
          <w:szCs w:val="20"/>
          <w:lang w:val="en"/>
        </w:rPr>
        <w:t xml:space="preserve">106 </w:t>
      </w:r>
      <w:r w:rsidRPr="008F04FC">
        <w:rPr>
          <w:rStyle w:val="highwire-cite-metadata-issue"/>
          <w:rFonts w:cs="Arial"/>
          <w:color w:val="333333"/>
          <w:sz w:val="20"/>
          <w:szCs w:val="20"/>
          <w:lang w:val="en"/>
        </w:rPr>
        <w:t xml:space="preserve">(33) </w:t>
      </w:r>
      <w:r w:rsidRPr="008F04FC">
        <w:rPr>
          <w:rStyle w:val="highwire-cite-metadata-pages"/>
          <w:rFonts w:cs="Arial"/>
          <w:color w:val="333333"/>
          <w:sz w:val="20"/>
          <w:szCs w:val="20"/>
          <w:lang w:val="en"/>
        </w:rPr>
        <w:t xml:space="preserve">13909-13914; </w:t>
      </w:r>
      <w:hyperlink r:id="rId33" w:history="1">
        <w:r w:rsidRPr="008F04FC">
          <w:rPr>
            <w:rStyle w:val="Hyperlink"/>
            <w:rFonts w:cs="Arial"/>
            <w:sz w:val="20"/>
            <w:szCs w:val="20"/>
            <w:lang w:val="en"/>
          </w:rPr>
          <w:t>https://doi.org/10.1073/pnas.0904936106</w:t>
        </w:r>
      </w:hyperlink>
      <w:r w:rsidRPr="008F04FC">
        <w:rPr>
          <w:rStyle w:val="highwire-cite-metadata-doi"/>
          <w:rFonts w:cs="Arial"/>
          <w:color w:val="333333"/>
          <w:sz w:val="20"/>
          <w:szCs w:val="20"/>
          <w:lang w:val="en"/>
        </w:rPr>
        <w:t xml:space="preserve"> </w:t>
      </w:r>
    </w:p>
    <w:p w14:paraId="6505799B" w14:textId="573E6FFA" w:rsidR="00B23833" w:rsidRPr="008F04FC" w:rsidRDefault="00B23833" w:rsidP="00CA3849">
      <w:pPr>
        <w:ind w:left="284" w:hanging="284"/>
        <w:rPr>
          <w:sz w:val="20"/>
          <w:szCs w:val="20"/>
          <w:lang w:val="en" w:bidi="ar-SA"/>
        </w:rPr>
      </w:pPr>
      <w:r>
        <w:rPr>
          <w:sz w:val="20"/>
          <w:szCs w:val="20"/>
          <w:lang w:val="en" w:bidi="ar-SA"/>
        </w:rPr>
        <w:t xml:space="preserve">Takada M, Horie Y, Abliz P (2001) Two new heterothallic </w:t>
      </w:r>
      <w:r w:rsidRPr="00B23833">
        <w:rPr>
          <w:i/>
          <w:sz w:val="20"/>
          <w:szCs w:val="20"/>
          <w:lang w:val="en" w:bidi="ar-SA"/>
        </w:rPr>
        <w:t>Neosartorya</w:t>
      </w:r>
      <w:r>
        <w:rPr>
          <w:sz w:val="20"/>
          <w:szCs w:val="20"/>
          <w:lang w:val="en" w:bidi="ar-SA"/>
        </w:rPr>
        <w:t xml:space="preserve"> from African soil. Mycoscience 42: 361-367.</w:t>
      </w:r>
    </w:p>
    <w:p w14:paraId="0455BCCD" w14:textId="77777777" w:rsidR="001E6A7B" w:rsidRPr="00692BCE" w:rsidRDefault="001E6A7B" w:rsidP="003F5429">
      <w:pPr>
        <w:ind w:left="284" w:hanging="284"/>
        <w:rPr>
          <w:sz w:val="20"/>
        </w:rPr>
      </w:pPr>
      <w:r w:rsidRPr="00F418CA">
        <w:rPr>
          <w:sz w:val="20"/>
          <w:szCs w:val="20"/>
        </w:rPr>
        <w:t>The United States Pharmacopeia</w:t>
      </w:r>
      <w:r>
        <w:rPr>
          <w:sz w:val="20"/>
          <w:szCs w:val="20"/>
        </w:rPr>
        <w:t xml:space="preserve"> (2016) Food Chemicals Codex 10</w:t>
      </w:r>
      <w:r w:rsidRPr="00AE0D24">
        <w:rPr>
          <w:sz w:val="20"/>
          <w:szCs w:val="20"/>
          <w:vertAlign w:val="superscript"/>
        </w:rPr>
        <w:t>th</w:t>
      </w:r>
      <w:r>
        <w:rPr>
          <w:sz w:val="20"/>
          <w:szCs w:val="20"/>
        </w:rPr>
        <w:t xml:space="preserve"> Edition,</w:t>
      </w:r>
      <w:r w:rsidRPr="00F418CA">
        <w:rPr>
          <w:sz w:val="20"/>
          <w:szCs w:val="20"/>
        </w:rPr>
        <w:t xml:space="preserve"> United St</w:t>
      </w:r>
      <w:r>
        <w:rPr>
          <w:sz w:val="20"/>
          <w:szCs w:val="20"/>
        </w:rPr>
        <w:t xml:space="preserve">ates Pharmacopeial Convention, Rockville, MD. </w:t>
      </w:r>
      <w:hyperlink r:id="rId34" w:history="1">
        <w:r w:rsidRPr="00692BCE">
          <w:rPr>
            <w:rStyle w:val="Hyperlink"/>
            <w:sz w:val="20"/>
          </w:rPr>
          <w:t>http://publications.usp.org/</w:t>
        </w:r>
      </w:hyperlink>
    </w:p>
    <w:p w14:paraId="1E2EC950" w14:textId="4E7D0EB2" w:rsidR="001E6A7B" w:rsidRDefault="001E6A7B">
      <w:pPr>
        <w:widowControl/>
      </w:pPr>
    </w:p>
    <w:p w14:paraId="7AD98772" w14:textId="365BDC32" w:rsidR="00706A9E" w:rsidRDefault="00706A9E">
      <w:pPr>
        <w:widowControl/>
      </w:pPr>
    </w:p>
    <w:p w14:paraId="41F3939A" w14:textId="501305C6" w:rsidR="00E202D2" w:rsidRDefault="00E202D2">
      <w:pPr>
        <w:widowControl/>
      </w:pPr>
    </w:p>
    <w:sectPr w:rsidR="00E202D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2DA30" w14:textId="77777777" w:rsidR="00917D2E" w:rsidRDefault="00917D2E">
      <w:r>
        <w:separator/>
      </w:r>
    </w:p>
  </w:endnote>
  <w:endnote w:type="continuationSeparator" w:id="0">
    <w:p w14:paraId="056B869E" w14:textId="77777777" w:rsidR="00917D2E" w:rsidRDefault="00917D2E">
      <w:r>
        <w:continuationSeparator/>
      </w:r>
    </w:p>
  </w:endnote>
  <w:endnote w:type="continuationNotice" w:id="1">
    <w:p w14:paraId="79982936" w14:textId="77777777" w:rsidR="00917D2E" w:rsidRDefault="00917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050E" w14:textId="77777777" w:rsidR="00917D2E" w:rsidRDefault="00917D2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DACCD8" w14:textId="77777777" w:rsidR="00917D2E" w:rsidRDefault="00917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93F2" w14:textId="03D6E33B" w:rsidR="00917D2E" w:rsidRDefault="00917D2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370D">
      <w:rPr>
        <w:rStyle w:val="PageNumber"/>
        <w:noProof/>
      </w:rPr>
      <w:t>i</w:t>
    </w:r>
    <w:r>
      <w:rPr>
        <w:rStyle w:val="PageNumber"/>
      </w:rPr>
      <w:fldChar w:fldCharType="end"/>
    </w:r>
  </w:p>
  <w:p w14:paraId="3B547F5C" w14:textId="77777777" w:rsidR="00917D2E" w:rsidRDefault="00917D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9FDC9" w14:textId="77777777" w:rsidR="00917D2E" w:rsidRDefault="00917D2E">
      <w:r>
        <w:separator/>
      </w:r>
    </w:p>
  </w:footnote>
  <w:footnote w:type="continuationSeparator" w:id="0">
    <w:p w14:paraId="34B00A46" w14:textId="77777777" w:rsidR="00917D2E" w:rsidRDefault="00917D2E">
      <w:r>
        <w:continuationSeparator/>
      </w:r>
    </w:p>
  </w:footnote>
  <w:footnote w:type="continuationNotice" w:id="1">
    <w:p w14:paraId="31FF214E" w14:textId="77777777" w:rsidR="00917D2E" w:rsidRDefault="00917D2E"/>
  </w:footnote>
  <w:footnote w:id="2">
    <w:p w14:paraId="70318331" w14:textId="4FEFF12B" w:rsidR="00917D2E" w:rsidRPr="00B714B5" w:rsidRDefault="00917D2E" w:rsidP="001E6A7B">
      <w:pPr>
        <w:pStyle w:val="FootnoteText"/>
        <w:rPr>
          <w:lang w:val="en-AU"/>
        </w:rPr>
      </w:pPr>
      <w:r>
        <w:rPr>
          <w:rStyle w:val="FootnoteReference"/>
        </w:rPr>
        <w:footnoteRef/>
      </w:r>
      <w:r>
        <w:t xml:space="preserve"> </w:t>
      </w:r>
      <w:r w:rsidRPr="0084108A">
        <w:t>International Union of Biochemistry and Molecular Biology</w:t>
      </w:r>
      <w:r>
        <w:t>.</w:t>
      </w:r>
    </w:p>
  </w:footnote>
  <w:footnote w:id="3">
    <w:p w14:paraId="3682EACF" w14:textId="2BDB5227" w:rsidR="00917D2E" w:rsidRPr="006D0450" w:rsidRDefault="00917D2E" w:rsidP="001E6A7B">
      <w:pPr>
        <w:pStyle w:val="FootnoteText"/>
        <w:rPr>
          <w:lang w:val="en-AU"/>
        </w:rPr>
      </w:pPr>
      <w:r>
        <w:rPr>
          <w:rStyle w:val="FootnoteReference"/>
        </w:rPr>
        <w:footnoteRef/>
      </w:r>
      <w:r>
        <w:t xml:space="preserve"> </w:t>
      </w:r>
      <w:r>
        <w:rPr>
          <w:lang w:val="en-AU"/>
        </w:rPr>
        <w:t xml:space="preserve">Chemical Abstracts Service. </w:t>
      </w:r>
    </w:p>
  </w:footnote>
  <w:footnote w:id="4">
    <w:p w14:paraId="5776D25A" w14:textId="77777777" w:rsidR="00917D2E" w:rsidRPr="004E3BF2" w:rsidRDefault="00917D2E" w:rsidP="001E6A7B">
      <w:pPr>
        <w:pStyle w:val="FootnoteText"/>
        <w:rPr>
          <w:lang w:val="en-AU"/>
        </w:rPr>
      </w:pPr>
      <w:r>
        <w:rPr>
          <w:rStyle w:val="FootnoteReference"/>
        </w:rPr>
        <w:footnoteRef/>
      </w:r>
      <w:r>
        <w:t xml:space="preserve"> </w:t>
      </w:r>
      <w:r>
        <w:rPr>
          <w:lang w:val="en-AU"/>
        </w:rPr>
        <w:t xml:space="preserve">Lysophospholipids are derivatives of phospholipids, a major component of the cell membranes of plants and animals. </w:t>
      </w:r>
      <w:r w:rsidRPr="00163E1B">
        <w:rPr>
          <w:lang w:val="en-AU"/>
        </w:rPr>
        <w:t xml:space="preserve">Lysophospholipids are also known to be the predominant phospholipids found in wheat starch </w:t>
      </w:r>
      <w:r w:rsidRPr="00B43198">
        <w:rPr>
          <w:lang w:val="en-AU"/>
        </w:rPr>
        <w:t>(Morrison, 1988 as mentioned in Matser, Steeneken (1998)).</w:t>
      </w:r>
    </w:p>
  </w:footnote>
  <w:footnote w:id="5">
    <w:p w14:paraId="0470A7A8" w14:textId="77777777" w:rsidR="00917D2E" w:rsidRPr="005B4321" w:rsidRDefault="00917D2E" w:rsidP="001E6A7B">
      <w:pPr>
        <w:pStyle w:val="FootnoteText"/>
        <w:rPr>
          <w:lang w:val="en-AU"/>
        </w:rPr>
      </w:pPr>
      <w:r>
        <w:rPr>
          <w:rStyle w:val="FootnoteReference"/>
        </w:rPr>
        <w:footnoteRef/>
      </w:r>
      <w:r>
        <w:t xml:space="preserve"> </w:t>
      </w:r>
      <w:r>
        <w:rPr>
          <w:lang w:val="en-AU"/>
        </w:rPr>
        <w:t>A micelle is a group of lysophospholipids that arrange themselves in a spherical form in aqueous solutions, with their polar heads forming the outside surface of the micelle, and their nonpolar tails facing into the micelle, away from the aqueous solution.</w:t>
      </w:r>
    </w:p>
  </w:footnote>
  <w:footnote w:id="6">
    <w:p w14:paraId="70DC8D27" w14:textId="5D191654" w:rsidR="00917D2E" w:rsidRPr="00F449F4" w:rsidRDefault="00917D2E" w:rsidP="001E6A7B">
      <w:pPr>
        <w:pStyle w:val="FootnoteText"/>
        <w:rPr>
          <w:lang w:val="en-AU"/>
        </w:rPr>
      </w:pPr>
      <w:r>
        <w:rPr>
          <w:rStyle w:val="FootnoteReference"/>
        </w:rPr>
        <w:footnoteRef/>
      </w:r>
      <w:r>
        <w:t xml:space="preserve"> Excipients are i</w:t>
      </w:r>
      <w:r>
        <w:rPr>
          <w:lang w:val="en-AU"/>
        </w:rPr>
        <w:t>nactive substances in the enzyme preparation that serve as a vehicle for the enzyme.</w:t>
      </w:r>
    </w:p>
  </w:footnote>
  <w:footnote w:id="7">
    <w:p w14:paraId="5820090D" w14:textId="06E09C7E" w:rsidR="00917D2E" w:rsidRPr="007708C7" w:rsidRDefault="00917D2E" w:rsidP="001E6A7B">
      <w:pPr>
        <w:pStyle w:val="FootnoteText"/>
        <w:rPr>
          <w:lang w:val="en-AU"/>
        </w:rPr>
      </w:pPr>
      <w:r>
        <w:rPr>
          <w:rStyle w:val="FootnoteReference"/>
        </w:rPr>
        <w:footnoteRef/>
      </w:r>
      <w:r>
        <w:t xml:space="preserve"> Saccharification is t</w:t>
      </w:r>
      <w:r>
        <w:rPr>
          <w:lang w:val="en-AU"/>
        </w:rPr>
        <w:t>he process of breaking down starch into sugars.</w:t>
      </w:r>
    </w:p>
  </w:footnote>
  <w:footnote w:id="8">
    <w:p w14:paraId="3E2B0FB1" w14:textId="43CE6243" w:rsidR="00917D2E" w:rsidRPr="00445284" w:rsidRDefault="00917D2E" w:rsidP="00445284">
      <w:pPr>
        <w:pStyle w:val="FootnoteText"/>
        <w:rPr>
          <w:lang w:val="en-AU"/>
        </w:rPr>
      </w:pPr>
      <w:r>
        <w:rPr>
          <w:rStyle w:val="FootnoteReference"/>
        </w:rPr>
        <w:footnoteRef/>
      </w:r>
      <w:r>
        <w:t xml:space="preserve"> </w:t>
      </w:r>
      <w:hyperlink r:id="rId1" w:history="1">
        <w:r w:rsidRPr="003A24C7">
          <w:rPr>
            <w:rStyle w:val="Hyperlink"/>
          </w:rPr>
          <w:t>https://www.ecolex.org/details/legislation/regulation-ec-no-8522004-of-the-european-parliament-and-of-the-council-on-the-hygiene-of-foodstuffs-lex-faoc063426/</w:t>
        </w:r>
      </w:hyperlink>
    </w:p>
  </w:footnote>
  <w:footnote w:id="9">
    <w:p w14:paraId="3809B159" w14:textId="77777777" w:rsidR="00917D2E" w:rsidRPr="00FC0FEC" w:rsidRDefault="00917D2E" w:rsidP="009157CA">
      <w:pPr>
        <w:pStyle w:val="FootnoteText"/>
        <w:rPr>
          <w:lang w:val="en-AU"/>
        </w:rPr>
      </w:pPr>
      <w:r>
        <w:rPr>
          <w:rStyle w:val="FootnoteReference"/>
        </w:rPr>
        <w:footnoteRef/>
      </w:r>
      <w:r>
        <w:t xml:space="preserve"> </w:t>
      </w:r>
      <w:hyperlink r:id="rId2" w:history="1">
        <w:r w:rsidRPr="00F66A96">
          <w:rPr>
            <w:rStyle w:val="Hyperlink"/>
          </w:rPr>
          <w:t>https://www.cdc.gov/biosafety/publications/bmbl5/index.htm</w:t>
        </w:r>
      </w:hyperlink>
      <w:r>
        <w:t xml:space="preserve"> </w:t>
      </w:r>
    </w:p>
  </w:footnote>
  <w:footnote w:id="10">
    <w:p w14:paraId="2B232869" w14:textId="77777777" w:rsidR="00917D2E" w:rsidRPr="00D65AF7" w:rsidRDefault="00917D2E" w:rsidP="009157CA">
      <w:pPr>
        <w:pStyle w:val="FootnoteText"/>
        <w:rPr>
          <w:lang w:val="en-AU"/>
        </w:rPr>
      </w:pPr>
      <w:r>
        <w:rPr>
          <w:rStyle w:val="FootnoteReference"/>
        </w:rPr>
        <w:footnoteRef/>
      </w:r>
      <w:r>
        <w:t xml:space="preserve"> </w:t>
      </w:r>
      <w:hyperlink r:id="rId3" w:history="1">
        <w:r w:rsidRPr="00E66120">
          <w:rPr>
            <w:rStyle w:val="Hyperlink"/>
          </w:rPr>
          <w:t>https://www.legislation.gov.au/Details/F2018C00369/Download</w:t>
        </w:r>
      </w:hyperlink>
      <w:r>
        <w:t xml:space="preserve"> </w:t>
      </w:r>
    </w:p>
  </w:footnote>
  <w:footnote w:id="11">
    <w:p w14:paraId="2D985605" w14:textId="77777777" w:rsidR="00917D2E" w:rsidRPr="00CE1C7B" w:rsidRDefault="00917D2E" w:rsidP="00A30707">
      <w:pPr>
        <w:pStyle w:val="FootnoteText"/>
        <w:rPr>
          <w:lang w:val="en-AU"/>
        </w:rPr>
      </w:pPr>
      <w:r>
        <w:rPr>
          <w:rStyle w:val="FootnoteReference"/>
        </w:rPr>
        <w:footnoteRef/>
      </w:r>
      <w:r>
        <w:t xml:space="preserve"> </w:t>
      </w:r>
      <w:hyperlink r:id="rId4" w:history="1">
        <w:r w:rsidRPr="00E66120">
          <w:rPr>
            <w:rStyle w:val="Hyperlink"/>
          </w:rPr>
          <w:t>https://www.anses.fr/en/system/files/BIOT2012sa0259.pdf</w:t>
        </w:r>
      </w:hyperlink>
      <w:r>
        <w:t xml:space="preserve"> </w:t>
      </w:r>
    </w:p>
  </w:footnote>
  <w:footnote w:id="12">
    <w:p w14:paraId="0441DA87" w14:textId="77777777" w:rsidR="00917D2E" w:rsidRPr="00CE1C7B" w:rsidRDefault="00917D2E" w:rsidP="007159D8">
      <w:pPr>
        <w:pStyle w:val="FootnoteText"/>
        <w:rPr>
          <w:lang w:val="en-AU"/>
        </w:rPr>
      </w:pPr>
      <w:r>
        <w:rPr>
          <w:rStyle w:val="FootnoteReference"/>
        </w:rPr>
        <w:footnoteRef/>
      </w:r>
      <w:r>
        <w:t xml:space="preserve"> </w:t>
      </w:r>
      <w:hyperlink r:id="rId5" w:history="1">
        <w:r w:rsidRPr="00E66120">
          <w:rPr>
            <w:rStyle w:val="Hyperlink"/>
          </w:rPr>
          <w:t>https://www.accessdata.fda.gov/scripts/fdcc/index.cfm?set=GRASNotices&amp;id=653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7D49" w14:textId="77777777" w:rsidR="00917D2E" w:rsidRDefault="00917D2E">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2716" w:hanging="360"/>
      </w:pPr>
      <w:rPr>
        <w:rFonts w:ascii="Symbol" w:hAnsi="Symbol" w:hint="default"/>
      </w:rPr>
    </w:lvl>
    <w:lvl w:ilvl="1" w:tplc="0C090003" w:tentative="1">
      <w:start w:val="1"/>
      <w:numFmt w:val="bullet"/>
      <w:lvlText w:val="o"/>
      <w:lvlJc w:val="left"/>
      <w:pPr>
        <w:ind w:left="3654" w:hanging="360"/>
      </w:pPr>
      <w:rPr>
        <w:rFonts w:ascii="Courier New" w:hAnsi="Courier New" w:cs="Courier New" w:hint="default"/>
      </w:rPr>
    </w:lvl>
    <w:lvl w:ilvl="2" w:tplc="0C090005" w:tentative="1">
      <w:start w:val="1"/>
      <w:numFmt w:val="bullet"/>
      <w:lvlText w:val=""/>
      <w:lvlJc w:val="left"/>
      <w:pPr>
        <w:ind w:left="4374" w:hanging="360"/>
      </w:pPr>
      <w:rPr>
        <w:rFonts w:ascii="Wingdings" w:hAnsi="Wingdings" w:hint="default"/>
      </w:rPr>
    </w:lvl>
    <w:lvl w:ilvl="3" w:tplc="0C090001" w:tentative="1">
      <w:start w:val="1"/>
      <w:numFmt w:val="bullet"/>
      <w:lvlText w:val=""/>
      <w:lvlJc w:val="left"/>
      <w:pPr>
        <w:ind w:left="5094" w:hanging="360"/>
      </w:pPr>
      <w:rPr>
        <w:rFonts w:ascii="Symbol" w:hAnsi="Symbol" w:hint="default"/>
      </w:rPr>
    </w:lvl>
    <w:lvl w:ilvl="4" w:tplc="0C090003" w:tentative="1">
      <w:start w:val="1"/>
      <w:numFmt w:val="bullet"/>
      <w:lvlText w:val="o"/>
      <w:lvlJc w:val="left"/>
      <w:pPr>
        <w:ind w:left="5814" w:hanging="360"/>
      </w:pPr>
      <w:rPr>
        <w:rFonts w:ascii="Courier New" w:hAnsi="Courier New" w:cs="Courier New" w:hint="default"/>
      </w:rPr>
    </w:lvl>
    <w:lvl w:ilvl="5" w:tplc="0C090005" w:tentative="1">
      <w:start w:val="1"/>
      <w:numFmt w:val="bullet"/>
      <w:lvlText w:val=""/>
      <w:lvlJc w:val="left"/>
      <w:pPr>
        <w:ind w:left="6534" w:hanging="360"/>
      </w:pPr>
      <w:rPr>
        <w:rFonts w:ascii="Wingdings" w:hAnsi="Wingdings" w:hint="default"/>
      </w:rPr>
    </w:lvl>
    <w:lvl w:ilvl="6" w:tplc="0C090001" w:tentative="1">
      <w:start w:val="1"/>
      <w:numFmt w:val="bullet"/>
      <w:lvlText w:val=""/>
      <w:lvlJc w:val="left"/>
      <w:pPr>
        <w:ind w:left="7254" w:hanging="360"/>
      </w:pPr>
      <w:rPr>
        <w:rFonts w:ascii="Symbol" w:hAnsi="Symbol" w:hint="default"/>
      </w:rPr>
    </w:lvl>
    <w:lvl w:ilvl="7" w:tplc="0C090003" w:tentative="1">
      <w:start w:val="1"/>
      <w:numFmt w:val="bullet"/>
      <w:lvlText w:val="o"/>
      <w:lvlJc w:val="left"/>
      <w:pPr>
        <w:ind w:left="7974" w:hanging="360"/>
      </w:pPr>
      <w:rPr>
        <w:rFonts w:ascii="Courier New" w:hAnsi="Courier New" w:cs="Courier New" w:hint="default"/>
      </w:rPr>
    </w:lvl>
    <w:lvl w:ilvl="8" w:tplc="0C090005" w:tentative="1">
      <w:start w:val="1"/>
      <w:numFmt w:val="bullet"/>
      <w:lvlText w:val=""/>
      <w:lvlJc w:val="left"/>
      <w:pPr>
        <w:ind w:left="8694" w:hanging="360"/>
      </w:pPr>
      <w:rPr>
        <w:rFonts w:ascii="Wingdings" w:hAnsi="Wingdings" w:hint="default"/>
      </w:rPr>
    </w:lvl>
  </w:abstractNum>
  <w:abstractNum w:abstractNumId="3"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C5DA3"/>
    <w:multiLevelType w:val="hybridMultilevel"/>
    <w:tmpl w:val="C1DEE480"/>
    <w:lvl w:ilvl="0" w:tplc="9FF4F946">
      <w:numFmt w:val="bullet"/>
      <w:lvlText w:val="•"/>
      <w:lvlJc w:val="left"/>
      <w:pPr>
        <w:ind w:left="930" w:hanging="57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6"/>
  </w:num>
  <w:num w:numId="6">
    <w:abstractNumId w:val="3"/>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17EA0"/>
    <w:rsid w:val="00034296"/>
    <w:rsid w:val="00035FF3"/>
    <w:rsid w:val="00042B1D"/>
    <w:rsid w:val="00051021"/>
    <w:rsid w:val="00051ED9"/>
    <w:rsid w:val="000544D6"/>
    <w:rsid w:val="00057181"/>
    <w:rsid w:val="0006473A"/>
    <w:rsid w:val="00064B2D"/>
    <w:rsid w:val="00065F1F"/>
    <w:rsid w:val="00067084"/>
    <w:rsid w:val="00076D33"/>
    <w:rsid w:val="00092CDA"/>
    <w:rsid w:val="00095A54"/>
    <w:rsid w:val="000A27E9"/>
    <w:rsid w:val="000A3D8B"/>
    <w:rsid w:val="000A5DF8"/>
    <w:rsid w:val="000B577E"/>
    <w:rsid w:val="000B6AF2"/>
    <w:rsid w:val="000D218D"/>
    <w:rsid w:val="000D4B0D"/>
    <w:rsid w:val="000D6FAC"/>
    <w:rsid w:val="000D6FD4"/>
    <w:rsid w:val="000E0AE4"/>
    <w:rsid w:val="000E3A23"/>
    <w:rsid w:val="000E3DBC"/>
    <w:rsid w:val="000E43C2"/>
    <w:rsid w:val="000F45CB"/>
    <w:rsid w:val="00113CE3"/>
    <w:rsid w:val="001151F7"/>
    <w:rsid w:val="00117522"/>
    <w:rsid w:val="00120DD5"/>
    <w:rsid w:val="001238EC"/>
    <w:rsid w:val="00132699"/>
    <w:rsid w:val="00135005"/>
    <w:rsid w:val="00135810"/>
    <w:rsid w:val="00144C36"/>
    <w:rsid w:val="00145138"/>
    <w:rsid w:val="001503AD"/>
    <w:rsid w:val="001516A3"/>
    <w:rsid w:val="001542D8"/>
    <w:rsid w:val="00180C41"/>
    <w:rsid w:val="00180E3E"/>
    <w:rsid w:val="00182C4C"/>
    <w:rsid w:val="00190327"/>
    <w:rsid w:val="00197D8D"/>
    <w:rsid w:val="001A1A75"/>
    <w:rsid w:val="001A7E9A"/>
    <w:rsid w:val="001C27A3"/>
    <w:rsid w:val="001C5295"/>
    <w:rsid w:val="001D7224"/>
    <w:rsid w:val="001D7EE4"/>
    <w:rsid w:val="001E09FA"/>
    <w:rsid w:val="001E238E"/>
    <w:rsid w:val="001E63FB"/>
    <w:rsid w:val="001E6A7B"/>
    <w:rsid w:val="00203540"/>
    <w:rsid w:val="0021612B"/>
    <w:rsid w:val="0022083A"/>
    <w:rsid w:val="00221D07"/>
    <w:rsid w:val="0022370D"/>
    <w:rsid w:val="00227E4A"/>
    <w:rsid w:val="0024582E"/>
    <w:rsid w:val="00245C56"/>
    <w:rsid w:val="002519C8"/>
    <w:rsid w:val="002540B9"/>
    <w:rsid w:val="002547EF"/>
    <w:rsid w:val="00256D65"/>
    <w:rsid w:val="00261824"/>
    <w:rsid w:val="00271F00"/>
    <w:rsid w:val="00273A80"/>
    <w:rsid w:val="0028146D"/>
    <w:rsid w:val="00287CCB"/>
    <w:rsid w:val="00290C1C"/>
    <w:rsid w:val="0029204E"/>
    <w:rsid w:val="00293FAF"/>
    <w:rsid w:val="0029631C"/>
    <w:rsid w:val="002A0194"/>
    <w:rsid w:val="002A3314"/>
    <w:rsid w:val="002A5F8B"/>
    <w:rsid w:val="002A7F6C"/>
    <w:rsid w:val="002B5610"/>
    <w:rsid w:val="002D6809"/>
    <w:rsid w:val="002E740B"/>
    <w:rsid w:val="002F0955"/>
    <w:rsid w:val="002F1B7A"/>
    <w:rsid w:val="002F6488"/>
    <w:rsid w:val="002F7801"/>
    <w:rsid w:val="003003D1"/>
    <w:rsid w:val="00320839"/>
    <w:rsid w:val="003213F9"/>
    <w:rsid w:val="00323DBF"/>
    <w:rsid w:val="00326D85"/>
    <w:rsid w:val="00326F6E"/>
    <w:rsid w:val="003304EA"/>
    <w:rsid w:val="003309A8"/>
    <w:rsid w:val="00332B12"/>
    <w:rsid w:val="0035149D"/>
    <w:rsid w:val="00351B07"/>
    <w:rsid w:val="00352CF2"/>
    <w:rsid w:val="00364841"/>
    <w:rsid w:val="0037063D"/>
    <w:rsid w:val="00371B29"/>
    <w:rsid w:val="0037240F"/>
    <w:rsid w:val="00375EFC"/>
    <w:rsid w:val="0037656B"/>
    <w:rsid w:val="00391769"/>
    <w:rsid w:val="00393CE8"/>
    <w:rsid w:val="003953E1"/>
    <w:rsid w:val="003956B3"/>
    <w:rsid w:val="003A5C2C"/>
    <w:rsid w:val="003A68BE"/>
    <w:rsid w:val="003B1805"/>
    <w:rsid w:val="003B1EC3"/>
    <w:rsid w:val="003B3C9D"/>
    <w:rsid w:val="003B78E0"/>
    <w:rsid w:val="003C4969"/>
    <w:rsid w:val="003C5EF4"/>
    <w:rsid w:val="003E41D5"/>
    <w:rsid w:val="003E4482"/>
    <w:rsid w:val="003E46BA"/>
    <w:rsid w:val="003E7D22"/>
    <w:rsid w:val="003F5429"/>
    <w:rsid w:val="003F74C1"/>
    <w:rsid w:val="00405B1A"/>
    <w:rsid w:val="00410C76"/>
    <w:rsid w:val="00411907"/>
    <w:rsid w:val="00413AAD"/>
    <w:rsid w:val="00413CA8"/>
    <w:rsid w:val="00413F41"/>
    <w:rsid w:val="00417EE3"/>
    <w:rsid w:val="004207EB"/>
    <w:rsid w:val="00422C38"/>
    <w:rsid w:val="00431388"/>
    <w:rsid w:val="00435466"/>
    <w:rsid w:val="00437276"/>
    <w:rsid w:val="00445284"/>
    <w:rsid w:val="00456B54"/>
    <w:rsid w:val="00464643"/>
    <w:rsid w:val="00486793"/>
    <w:rsid w:val="004A2037"/>
    <w:rsid w:val="004C06B5"/>
    <w:rsid w:val="004C2CE7"/>
    <w:rsid w:val="004C52B0"/>
    <w:rsid w:val="004C52FD"/>
    <w:rsid w:val="004D26C3"/>
    <w:rsid w:val="004F4F98"/>
    <w:rsid w:val="004F69F6"/>
    <w:rsid w:val="004F79AC"/>
    <w:rsid w:val="005017CF"/>
    <w:rsid w:val="00507038"/>
    <w:rsid w:val="005071E5"/>
    <w:rsid w:val="00513335"/>
    <w:rsid w:val="005207D8"/>
    <w:rsid w:val="0053464E"/>
    <w:rsid w:val="0054272D"/>
    <w:rsid w:val="00550E3D"/>
    <w:rsid w:val="00562917"/>
    <w:rsid w:val="0057615C"/>
    <w:rsid w:val="00586228"/>
    <w:rsid w:val="00597140"/>
    <w:rsid w:val="005A1D97"/>
    <w:rsid w:val="005A58F3"/>
    <w:rsid w:val="005A6456"/>
    <w:rsid w:val="005B2BB4"/>
    <w:rsid w:val="005B6AF4"/>
    <w:rsid w:val="005B7A73"/>
    <w:rsid w:val="005C04CB"/>
    <w:rsid w:val="005D16AD"/>
    <w:rsid w:val="005D63C8"/>
    <w:rsid w:val="005D72E1"/>
    <w:rsid w:val="005E150C"/>
    <w:rsid w:val="005E2C43"/>
    <w:rsid w:val="005E6E16"/>
    <w:rsid w:val="005F022B"/>
    <w:rsid w:val="005F034D"/>
    <w:rsid w:val="005F2BAC"/>
    <w:rsid w:val="005F400E"/>
    <w:rsid w:val="005F5C7D"/>
    <w:rsid w:val="005F7342"/>
    <w:rsid w:val="00603A08"/>
    <w:rsid w:val="00610A3C"/>
    <w:rsid w:val="0061585B"/>
    <w:rsid w:val="00617EC9"/>
    <w:rsid w:val="00627F48"/>
    <w:rsid w:val="00630C23"/>
    <w:rsid w:val="00632CE2"/>
    <w:rsid w:val="006359E9"/>
    <w:rsid w:val="00644880"/>
    <w:rsid w:val="006459AA"/>
    <w:rsid w:val="006460AB"/>
    <w:rsid w:val="00651E87"/>
    <w:rsid w:val="00653E10"/>
    <w:rsid w:val="0065740D"/>
    <w:rsid w:val="006636AA"/>
    <w:rsid w:val="00663FCF"/>
    <w:rsid w:val="006652A2"/>
    <w:rsid w:val="006818F2"/>
    <w:rsid w:val="00687902"/>
    <w:rsid w:val="00687956"/>
    <w:rsid w:val="00690206"/>
    <w:rsid w:val="006937FF"/>
    <w:rsid w:val="006A2E22"/>
    <w:rsid w:val="006A48A7"/>
    <w:rsid w:val="006B0FDC"/>
    <w:rsid w:val="006B4BA1"/>
    <w:rsid w:val="006B5EBE"/>
    <w:rsid w:val="006B6BC1"/>
    <w:rsid w:val="006C1414"/>
    <w:rsid w:val="006C2320"/>
    <w:rsid w:val="006C3F26"/>
    <w:rsid w:val="006C5CF5"/>
    <w:rsid w:val="006C5F80"/>
    <w:rsid w:val="006E134F"/>
    <w:rsid w:val="006F0A8F"/>
    <w:rsid w:val="006F4A82"/>
    <w:rsid w:val="006F78E3"/>
    <w:rsid w:val="0070373B"/>
    <w:rsid w:val="00706A9E"/>
    <w:rsid w:val="007100EB"/>
    <w:rsid w:val="00711978"/>
    <w:rsid w:val="00714724"/>
    <w:rsid w:val="007159D8"/>
    <w:rsid w:val="0072301D"/>
    <w:rsid w:val="00724FA4"/>
    <w:rsid w:val="007259A1"/>
    <w:rsid w:val="00730800"/>
    <w:rsid w:val="007352B9"/>
    <w:rsid w:val="007514AA"/>
    <w:rsid w:val="00754AFF"/>
    <w:rsid w:val="00756C1D"/>
    <w:rsid w:val="007602AA"/>
    <w:rsid w:val="00760F0F"/>
    <w:rsid w:val="007652EF"/>
    <w:rsid w:val="00772BDC"/>
    <w:rsid w:val="00777538"/>
    <w:rsid w:val="00780792"/>
    <w:rsid w:val="007873D4"/>
    <w:rsid w:val="00793199"/>
    <w:rsid w:val="00796562"/>
    <w:rsid w:val="007A04CF"/>
    <w:rsid w:val="007A44B4"/>
    <w:rsid w:val="007A7D3D"/>
    <w:rsid w:val="007B225D"/>
    <w:rsid w:val="007B70AE"/>
    <w:rsid w:val="007C174F"/>
    <w:rsid w:val="007C1C64"/>
    <w:rsid w:val="007C7FB1"/>
    <w:rsid w:val="007D03EA"/>
    <w:rsid w:val="007D3F5A"/>
    <w:rsid w:val="007D6A40"/>
    <w:rsid w:val="007E48BC"/>
    <w:rsid w:val="007E79F7"/>
    <w:rsid w:val="007F3630"/>
    <w:rsid w:val="007F7C04"/>
    <w:rsid w:val="00807559"/>
    <w:rsid w:val="008250F0"/>
    <w:rsid w:val="00836104"/>
    <w:rsid w:val="008450BC"/>
    <w:rsid w:val="0085334B"/>
    <w:rsid w:val="0086342E"/>
    <w:rsid w:val="00867E72"/>
    <w:rsid w:val="00870214"/>
    <w:rsid w:val="00882016"/>
    <w:rsid w:val="00885C51"/>
    <w:rsid w:val="00885EB0"/>
    <w:rsid w:val="00891F4B"/>
    <w:rsid w:val="0089264A"/>
    <w:rsid w:val="008937DD"/>
    <w:rsid w:val="008958EE"/>
    <w:rsid w:val="00896B85"/>
    <w:rsid w:val="008A22BE"/>
    <w:rsid w:val="008A46D5"/>
    <w:rsid w:val="008B0CE1"/>
    <w:rsid w:val="008C1B36"/>
    <w:rsid w:val="008D0084"/>
    <w:rsid w:val="008D06C6"/>
    <w:rsid w:val="008D12A1"/>
    <w:rsid w:val="008D7BC2"/>
    <w:rsid w:val="008E6250"/>
    <w:rsid w:val="008F0779"/>
    <w:rsid w:val="008F3749"/>
    <w:rsid w:val="008F66A8"/>
    <w:rsid w:val="00902AF6"/>
    <w:rsid w:val="009157CA"/>
    <w:rsid w:val="00917D2E"/>
    <w:rsid w:val="00920249"/>
    <w:rsid w:val="00924C80"/>
    <w:rsid w:val="00932F14"/>
    <w:rsid w:val="0094247F"/>
    <w:rsid w:val="00942D60"/>
    <w:rsid w:val="00943001"/>
    <w:rsid w:val="00957850"/>
    <w:rsid w:val="0096523B"/>
    <w:rsid w:val="00966EE3"/>
    <w:rsid w:val="00970CFA"/>
    <w:rsid w:val="00972D06"/>
    <w:rsid w:val="00976B59"/>
    <w:rsid w:val="009823B2"/>
    <w:rsid w:val="0098477B"/>
    <w:rsid w:val="0098487D"/>
    <w:rsid w:val="00984DEA"/>
    <w:rsid w:val="00985DD0"/>
    <w:rsid w:val="00987E59"/>
    <w:rsid w:val="009A391C"/>
    <w:rsid w:val="009A50F2"/>
    <w:rsid w:val="009C7293"/>
    <w:rsid w:val="009C761D"/>
    <w:rsid w:val="009D15CF"/>
    <w:rsid w:val="009D1F6E"/>
    <w:rsid w:val="009D45A6"/>
    <w:rsid w:val="009D5C1C"/>
    <w:rsid w:val="009E0576"/>
    <w:rsid w:val="009E0A61"/>
    <w:rsid w:val="009E3010"/>
    <w:rsid w:val="009E3446"/>
    <w:rsid w:val="009E46DF"/>
    <w:rsid w:val="009E6719"/>
    <w:rsid w:val="009F007E"/>
    <w:rsid w:val="009F0B77"/>
    <w:rsid w:val="009F288E"/>
    <w:rsid w:val="009F4AFD"/>
    <w:rsid w:val="009F4D72"/>
    <w:rsid w:val="009F7065"/>
    <w:rsid w:val="009F76B5"/>
    <w:rsid w:val="00A067E4"/>
    <w:rsid w:val="00A07714"/>
    <w:rsid w:val="00A13223"/>
    <w:rsid w:val="00A2070E"/>
    <w:rsid w:val="00A264C6"/>
    <w:rsid w:val="00A30707"/>
    <w:rsid w:val="00A316EA"/>
    <w:rsid w:val="00A4175D"/>
    <w:rsid w:val="00A47DE4"/>
    <w:rsid w:val="00A5055F"/>
    <w:rsid w:val="00A53EE6"/>
    <w:rsid w:val="00A56DC7"/>
    <w:rsid w:val="00A63653"/>
    <w:rsid w:val="00A66EA8"/>
    <w:rsid w:val="00A710D7"/>
    <w:rsid w:val="00A74FD1"/>
    <w:rsid w:val="00A77BFA"/>
    <w:rsid w:val="00A84A58"/>
    <w:rsid w:val="00A96DA3"/>
    <w:rsid w:val="00AA0F6D"/>
    <w:rsid w:val="00AA19C3"/>
    <w:rsid w:val="00AA49F5"/>
    <w:rsid w:val="00AA7751"/>
    <w:rsid w:val="00AA78CC"/>
    <w:rsid w:val="00AB47E7"/>
    <w:rsid w:val="00AB5B93"/>
    <w:rsid w:val="00AC0DE3"/>
    <w:rsid w:val="00AF0509"/>
    <w:rsid w:val="00AF06FC"/>
    <w:rsid w:val="00AF3391"/>
    <w:rsid w:val="00AF339B"/>
    <w:rsid w:val="00AF387F"/>
    <w:rsid w:val="00AF723B"/>
    <w:rsid w:val="00B00E7F"/>
    <w:rsid w:val="00B0502A"/>
    <w:rsid w:val="00B1045B"/>
    <w:rsid w:val="00B12F1E"/>
    <w:rsid w:val="00B13FF8"/>
    <w:rsid w:val="00B173DA"/>
    <w:rsid w:val="00B21DCC"/>
    <w:rsid w:val="00B22C2B"/>
    <w:rsid w:val="00B23833"/>
    <w:rsid w:val="00B25CCB"/>
    <w:rsid w:val="00B25F37"/>
    <w:rsid w:val="00B30E51"/>
    <w:rsid w:val="00B37BF0"/>
    <w:rsid w:val="00B4058D"/>
    <w:rsid w:val="00B414E8"/>
    <w:rsid w:val="00B420C0"/>
    <w:rsid w:val="00B44422"/>
    <w:rsid w:val="00B46EA0"/>
    <w:rsid w:val="00B66A92"/>
    <w:rsid w:val="00B710CD"/>
    <w:rsid w:val="00B731D3"/>
    <w:rsid w:val="00B828B9"/>
    <w:rsid w:val="00B839A3"/>
    <w:rsid w:val="00B84BB0"/>
    <w:rsid w:val="00B869CB"/>
    <w:rsid w:val="00B87E23"/>
    <w:rsid w:val="00B902BD"/>
    <w:rsid w:val="00B90B14"/>
    <w:rsid w:val="00B91C91"/>
    <w:rsid w:val="00B960BA"/>
    <w:rsid w:val="00BA24E2"/>
    <w:rsid w:val="00BC4A7E"/>
    <w:rsid w:val="00BD12E2"/>
    <w:rsid w:val="00BD2A39"/>
    <w:rsid w:val="00BD2E80"/>
    <w:rsid w:val="00BD3D5C"/>
    <w:rsid w:val="00BE11B8"/>
    <w:rsid w:val="00BF3C5D"/>
    <w:rsid w:val="00BF57FF"/>
    <w:rsid w:val="00BF7FF0"/>
    <w:rsid w:val="00C05332"/>
    <w:rsid w:val="00C057F4"/>
    <w:rsid w:val="00C06675"/>
    <w:rsid w:val="00C12502"/>
    <w:rsid w:val="00C1439B"/>
    <w:rsid w:val="00C148F5"/>
    <w:rsid w:val="00C15A6C"/>
    <w:rsid w:val="00C1733F"/>
    <w:rsid w:val="00C22FBC"/>
    <w:rsid w:val="00C30CA1"/>
    <w:rsid w:val="00C33CE9"/>
    <w:rsid w:val="00C36578"/>
    <w:rsid w:val="00C40AA5"/>
    <w:rsid w:val="00C46F70"/>
    <w:rsid w:val="00C476D0"/>
    <w:rsid w:val="00C504DB"/>
    <w:rsid w:val="00C60138"/>
    <w:rsid w:val="00C61AC1"/>
    <w:rsid w:val="00C76D44"/>
    <w:rsid w:val="00C821F5"/>
    <w:rsid w:val="00C836E3"/>
    <w:rsid w:val="00C86577"/>
    <w:rsid w:val="00C92E07"/>
    <w:rsid w:val="00C96868"/>
    <w:rsid w:val="00CA0416"/>
    <w:rsid w:val="00CA3849"/>
    <w:rsid w:val="00CA3967"/>
    <w:rsid w:val="00CA641D"/>
    <w:rsid w:val="00CB4F25"/>
    <w:rsid w:val="00CC560B"/>
    <w:rsid w:val="00CC75E2"/>
    <w:rsid w:val="00CD46EB"/>
    <w:rsid w:val="00CD7EBF"/>
    <w:rsid w:val="00CE7D5F"/>
    <w:rsid w:val="00CF3F16"/>
    <w:rsid w:val="00D00CA2"/>
    <w:rsid w:val="00D056F1"/>
    <w:rsid w:val="00D11171"/>
    <w:rsid w:val="00D22F3C"/>
    <w:rsid w:val="00D23DB6"/>
    <w:rsid w:val="00D25759"/>
    <w:rsid w:val="00D27155"/>
    <w:rsid w:val="00D37C7B"/>
    <w:rsid w:val="00D4020F"/>
    <w:rsid w:val="00D4290A"/>
    <w:rsid w:val="00D43FE6"/>
    <w:rsid w:val="00D444C0"/>
    <w:rsid w:val="00D4456E"/>
    <w:rsid w:val="00D45911"/>
    <w:rsid w:val="00D51A95"/>
    <w:rsid w:val="00D5741F"/>
    <w:rsid w:val="00D60568"/>
    <w:rsid w:val="00D70C7A"/>
    <w:rsid w:val="00D7440B"/>
    <w:rsid w:val="00D81D38"/>
    <w:rsid w:val="00D838D3"/>
    <w:rsid w:val="00D85DE9"/>
    <w:rsid w:val="00D85F79"/>
    <w:rsid w:val="00D87F1D"/>
    <w:rsid w:val="00D934C6"/>
    <w:rsid w:val="00D94D0E"/>
    <w:rsid w:val="00D9620E"/>
    <w:rsid w:val="00DA10A8"/>
    <w:rsid w:val="00DB1E08"/>
    <w:rsid w:val="00DB2973"/>
    <w:rsid w:val="00DB6BBF"/>
    <w:rsid w:val="00DC1B56"/>
    <w:rsid w:val="00DC2129"/>
    <w:rsid w:val="00DC6570"/>
    <w:rsid w:val="00DD37FE"/>
    <w:rsid w:val="00DD3C5E"/>
    <w:rsid w:val="00DE7ACB"/>
    <w:rsid w:val="00DF25C3"/>
    <w:rsid w:val="00DF3C85"/>
    <w:rsid w:val="00E04062"/>
    <w:rsid w:val="00E063C6"/>
    <w:rsid w:val="00E066BA"/>
    <w:rsid w:val="00E128DE"/>
    <w:rsid w:val="00E2003B"/>
    <w:rsid w:val="00E202D2"/>
    <w:rsid w:val="00E203C2"/>
    <w:rsid w:val="00E279D8"/>
    <w:rsid w:val="00E319B1"/>
    <w:rsid w:val="00E41D8B"/>
    <w:rsid w:val="00E44E0D"/>
    <w:rsid w:val="00E5492F"/>
    <w:rsid w:val="00E62DEF"/>
    <w:rsid w:val="00E70A86"/>
    <w:rsid w:val="00E75D66"/>
    <w:rsid w:val="00E777EC"/>
    <w:rsid w:val="00E80FCD"/>
    <w:rsid w:val="00EA7F2F"/>
    <w:rsid w:val="00EB5CF3"/>
    <w:rsid w:val="00EC00DE"/>
    <w:rsid w:val="00EC30E1"/>
    <w:rsid w:val="00EC7502"/>
    <w:rsid w:val="00ED172A"/>
    <w:rsid w:val="00ED35C4"/>
    <w:rsid w:val="00EE5D7A"/>
    <w:rsid w:val="00F053D3"/>
    <w:rsid w:val="00F10F90"/>
    <w:rsid w:val="00F11F6C"/>
    <w:rsid w:val="00F14BEC"/>
    <w:rsid w:val="00F225C5"/>
    <w:rsid w:val="00F2587A"/>
    <w:rsid w:val="00F273E5"/>
    <w:rsid w:val="00F31749"/>
    <w:rsid w:val="00F34404"/>
    <w:rsid w:val="00F3715D"/>
    <w:rsid w:val="00F420C8"/>
    <w:rsid w:val="00F424C2"/>
    <w:rsid w:val="00F42A4C"/>
    <w:rsid w:val="00F5724F"/>
    <w:rsid w:val="00F604DE"/>
    <w:rsid w:val="00F72A16"/>
    <w:rsid w:val="00F737EE"/>
    <w:rsid w:val="00F76FA8"/>
    <w:rsid w:val="00F8740D"/>
    <w:rsid w:val="00F93113"/>
    <w:rsid w:val="00FA00BC"/>
    <w:rsid w:val="00FB07C2"/>
    <w:rsid w:val="00FB54AB"/>
    <w:rsid w:val="00FB7512"/>
    <w:rsid w:val="00FC6D8D"/>
    <w:rsid w:val="00FC7990"/>
    <w:rsid w:val="00FD7547"/>
    <w:rsid w:val="00FD7C83"/>
    <w:rsid w:val="00FE2C25"/>
    <w:rsid w:val="00FE665B"/>
    <w:rsid w:val="00FF5F5C"/>
    <w:rsid w:val="00FF7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1467D172"/>
  <w15:docId w15:val="{C5A2D48C-3CC3-48A1-BB54-81ADB4B5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513335"/>
    <w:pPr>
      <w:autoSpaceDE w:val="0"/>
      <w:autoSpaceDN w:val="0"/>
      <w:adjustRightInd w:val="0"/>
    </w:pPr>
    <w:rPr>
      <w:rFonts w:ascii="Segoe UI" w:eastAsiaTheme="minorHAnsi" w:hAnsi="Segoe UI" w:cs="Segoe U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yperlink" Target="http://www.allergenonline.org/"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publications.usp.or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blast.ncbi.nlm.nih.gov/" TargetMode="External"/><Relationship Id="rId33" Type="http://schemas.openxmlformats.org/officeDocument/2006/relationships/hyperlink" Target="https://doi.org/10.1073/pnas.0904936106"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colex.org/details/legislation/regulation-ec-no-8522004-of-the-european-parliament-and-of-the-council-on-the-hygiene-of-foodstuffs-lex-faoc063426/" TargetMode="External"/><Relationship Id="rId29" Type="http://schemas.openxmlformats.org/officeDocument/2006/relationships/hyperlink" Target="https://www.fda.gov/downloads/Food/IngredientsPackagingLabeling/GRAS/NoticeInventory/ucm514715.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egislation.gov.au/Details/F2018C00369/Download" TargetMode="External"/><Relationship Id="rId32" Type="http://schemas.openxmlformats.org/officeDocument/2006/relationships/hyperlink" Target="http://www.sbcs.qmul.ac.uk/iubmb/enzyme/EC3/0101a.html" TargetMode="External"/><Relationship Id="rId36" Type="http://schemas.openxmlformats.org/officeDocument/2006/relationships/theme" Target="theme/theme1.xml"/><Relationship Id="rId15" Type="http://schemas.openxmlformats.org/officeDocument/2006/relationships/footer" Target="footer1.xml"/><Relationship Id="rId23" Type="http://schemas.openxmlformats.org/officeDocument/2006/relationships/hyperlink" Target="http://www.isth.info/" TargetMode="External"/><Relationship Id="rId28" Type="http://schemas.openxmlformats.org/officeDocument/2006/relationships/hyperlink" Target="https://www.anses.fr/en/system/files/BIOT2012sa0259.pdf" TargetMode="External"/><Relationship Id="rId10" Type="http://schemas.openxmlformats.org/officeDocument/2006/relationships/settings" Target="settings.xml"/><Relationship Id="rId19" Type="http://schemas.openxmlformats.org/officeDocument/2006/relationships/hyperlink" Target="https://www.ebi.ac.uk/thornton-srv/databases/cgi-bin/enzymes/GetPage.pl?ec_number=3.1.1.5" TargetMode="External"/><Relationship Id="rId31" Type="http://schemas.openxmlformats.org/officeDocument/2006/relationships/hyperlink" Target="https://admin-www.foodstandards.gov.au/code/Pages/default.aspx" TargetMode="External"/><Relationship Id="rId35"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cdc.gov/biosafety/publications/bmbl5/index.htm" TargetMode="External"/><Relationship Id="rId27" Type="http://schemas.openxmlformats.org/officeDocument/2006/relationships/hyperlink" Target="http://allergen.nihs.go.jp/ADFS/" TargetMode="External"/><Relationship Id="rId30" Type="http://schemas.openxmlformats.org/officeDocument/2006/relationships/hyperlink" Target="http://www.fao.org/docrep/009/a0691e/A0691E03.htm"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F2018C00369/Download" TargetMode="External"/><Relationship Id="rId2" Type="http://schemas.openxmlformats.org/officeDocument/2006/relationships/hyperlink" Target="https://www.cdc.gov/biosafety/publications/bmbl5/index.htm" TargetMode="External"/><Relationship Id="rId1" Type="http://schemas.openxmlformats.org/officeDocument/2006/relationships/hyperlink" Target="https://www.ecolex.org/details/legislation/regulation-ec-no-8522004-of-the-european-parliament-and-of-the-council-on-the-hygiene-of-foodstuffs-lex-faoc063426/" TargetMode="External"/><Relationship Id="rId5" Type="http://schemas.openxmlformats.org/officeDocument/2006/relationships/hyperlink" Target="https://www.accessdata.fda.gov/scripts/fdcc/index.cfm?set=GRASNotices&amp;id=653" TargetMode="External"/><Relationship Id="rId4" Type="http://schemas.openxmlformats.org/officeDocument/2006/relationships/hyperlink" Target="https://www.anses.fr/en/system/files/BIOT2012sa025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X3VAMR3A5FUY-552-7047</_dlc_DocId>
    <_dlc_DocIdUrl xmlns="ff5de93e-c5e8-4efc-a1bd-21450292fcfe">
      <Url>http://teams/Sections/RAP/_layouts/15/DocIdRedir.aspx?ID=X3VAMR3A5FUY-552-7047</Url>
      <Description>X3VAMR3A5FUY-552-7047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07E98-E3D6-4449-8F5D-92A4FA080364}"/>
</file>

<file path=customXml/itemProps2.xml><?xml version="1.0" encoding="utf-8"?>
<ds:datastoreItem xmlns:ds="http://schemas.openxmlformats.org/officeDocument/2006/customXml" ds:itemID="{ECDFBCE4-AB20-4701-BAA9-20706D3E91D0}"/>
</file>

<file path=customXml/itemProps3.xml><?xml version="1.0" encoding="utf-8"?>
<ds:datastoreItem xmlns:ds="http://schemas.openxmlformats.org/officeDocument/2006/customXml" ds:itemID="{F63D0834-DAB0-4F92-A0CB-B4FDC10C3C2A}"/>
</file>

<file path=customXml/itemProps4.xml><?xml version="1.0" encoding="utf-8"?>
<ds:datastoreItem xmlns:ds="http://schemas.openxmlformats.org/officeDocument/2006/customXml" ds:itemID="{89E5464E-6E43-4A94-9E9A-DC1D7A506B71}">
  <ds:schemaRefs>
    <ds:schemaRef ds:uri="Microsoft.SharePoint.Taxonomy.ContentTypeSync"/>
  </ds:schemaRefs>
</ds:datastoreItem>
</file>

<file path=customXml/itemProps5.xml><?xml version="1.0" encoding="utf-8"?>
<ds:datastoreItem xmlns:ds="http://schemas.openxmlformats.org/officeDocument/2006/customXml" ds:itemID="{22007E98-E3D6-4449-8F5D-92A4FA080364}">
  <ds:schemaRefs>
    <ds:schemaRef ds:uri="http://schemas.microsoft.com/office/2006/metadata/properties"/>
    <ds:schemaRef ds:uri="http://purl.org/dc/dcmitype/"/>
    <ds:schemaRef ds:uri="http://purl.org/dc/terms/"/>
    <ds:schemaRef ds:uri="http://purl.org/dc/elements/1.1/"/>
    <ds:schemaRef ds:uri="ec50576e-4a27-4780-a1e1-e59563bc70b8"/>
    <ds:schemaRef ds:uri="http://schemas.microsoft.com/office/infopath/2007/PartnerControls"/>
    <ds:schemaRef ds:uri="ff5de93e-c5e8-4efc-a1bd-21450292fcfe"/>
    <ds:schemaRef ds:uri="http://schemas.microsoft.com/office/2006/documentManagement/type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06F5FC26-CE8C-488F-A626-F99325204FA3}"/>
</file>

<file path=customXml/itemProps7.xml><?xml version="1.0" encoding="utf-8"?>
<ds:datastoreItem xmlns:ds="http://schemas.openxmlformats.org/officeDocument/2006/customXml" ds:itemID="{C882F2B3-974F-4315-9ED9-0369F9C6D66C}"/>
</file>

<file path=docProps/app.xml><?xml version="1.0" encoding="utf-8"?>
<Properties xmlns="http://schemas.openxmlformats.org/officeDocument/2006/extended-properties" xmlns:vt="http://schemas.openxmlformats.org/officeDocument/2006/docPropsVTypes">
  <Template>Normal</Template>
  <TotalTime>1</TotalTime>
  <Pages>18</Pages>
  <Words>7071</Words>
  <Characters>40305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47282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trevil</dc:creator>
  <cp:lastModifiedBy>Christine Coughlan</cp:lastModifiedBy>
  <cp:revision>3</cp:revision>
  <cp:lastPrinted>2018-08-26T23:08:00Z</cp:lastPrinted>
  <dcterms:created xsi:type="dcterms:W3CDTF">2018-11-07T22:24:00Z</dcterms:created>
  <dcterms:modified xsi:type="dcterms:W3CDTF">2018-11-07T22:27:00Z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48e7a179-d25d-4b1b-b38a-82e96dfd0ba5</vt:lpwstr>
  </property>
  <property fmtid="{D5CDD505-2E9C-101B-9397-08002B2CF9AE}" pid="3" name="bjSaver">
    <vt:lpwstr>mhrlfEW7b9k68ds2IFR69UD4CsNiGzlo</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uid="a68a5297-83bb-4ba8-a7cd-4b62d6981a77" value="" /&gt;&lt;/sisl&gt;</vt:lpwstr>
  </property>
  <property fmtid="{D5CDD505-2E9C-101B-9397-08002B2CF9AE}" pid="6" name="bjDocumentSecurityLabel">
    <vt:lpwstr>NO SECURITY CLASSIFICATION REQUIRED</vt:lpwstr>
  </property>
  <property fmtid="{D5CDD505-2E9C-101B-9397-08002B2CF9AE}" pid="7" name="ContentTypeId">
    <vt:lpwstr>0x010100CB2FFA9FD6109347A9495CD5860AFAE6</vt:lpwstr>
  </property>
  <property fmtid="{D5CDD505-2E9C-101B-9397-08002B2CF9AE}" pid="8" name="DisposalClass">
    <vt:lpwstr/>
  </property>
  <property fmtid="{D5CDD505-2E9C-101B-9397-08002B2CF9AE}" pid="9" name="BCS_">
    <vt:lpwstr>40;#FOOD STANDARDS:Evaluation|43bd8487-b9f6-4055-946c-a118d364275d</vt:lpwstr>
  </property>
  <property fmtid="{D5CDD505-2E9C-101B-9397-08002B2CF9AE}" pid="10" name="_dlc_DocIdItemGuid">
    <vt:lpwstr>b97b1292-ff0b-4af5-8133-20713582d4e1</vt:lpwstr>
  </property>
  <property fmtid="{D5CDD505-2E9C-101B-9397-08002B2CF9AE}" pid="11" name="RecordPoint_WorkflowType">
    <vt:lpwstr>ActiveSubmitStub</vt:lpwstr>
  </property>
  <property fmtid="{D5CDD505-2E9C-101B-9397-08002B2CF9AE}" pid="12" name="RecordPoint_ActiveItemUniqueId">
    <vt:lpwstr>{460cb3b9-7090-4a13-a101-db6e5fbeb90d}</vt:lpwstr>
  </property>
  <property fmtid="{D5CDD505-2E9C-101B-9397-08002B2CF9AE}" pid="13" name="RecordPoint_SubmissionCompleted">
    <vt:lpwstr>2018-11-01T15:51:11.8667244+11:00</vt:lpwstr>
  </property>
</Properties>
</file>